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2E" w:rsidRPr="00406F2E" w:rsidRDefault="00406F2E" w:rsidP="00406F2E">
      <w:pPr>
        <w:widowControl/>
        <w:shd w:val="clear" w:color="auto" w:fill="FFFFFF"/>
        <w:spacing w:line="750" w:lineRule="atLeast"/>
        <w:jc w:val="center"/>
        <w:outlineLvl w:val="0"/>
        <w:rPr>
          <w:rFonts w:ascii="微软雅黑" w:eastAsia="微软雅黑" w:hAnsi="微软雅黑" w:cs="宋体"/>
          <w:b/>
          <w:bCs/>
          <w:color w:val="333333"/>
          <w:kern w:val="36"/>
          <w:sz w:val="48"/>
          <w:szCs w:val="48"/>
        </w:rPr>
      </w:pPr>
      <w:bookmarkStart w:id="0" w:name="_GoBack"/>
      <w:r w:rsidRPr="00406F2E">
        <w:rPr>
          <w:rFonts w:ascii="微软雅黑" w:eastAsia="微软雅黑" w:hAnsi="微软雅黑" w:cs="宋体" w:hint="eastAsia"/>
          <w:b/>
          <w:bCs/>
          <w:color w:val="333333"/>
          <w:kern w:val="36"/>
          <w:sz w:val="48"/>
          <w:szCs w:val="48"/>
        </w:rPr>
        <w:t>安徽省教育督导条例</w:t>
      </w:r>
    </w:p>
    <w:bookmarkEnd w:id="0"/>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安徽省人民代表大会常务委员会</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公        告</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（第六十二号）</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《安徽省教育督导条例》已经2022年3月25日安徽省第十三届人民代表大会常务委员会第三十三次会议通过，现予公布，自2022年6月1日起施行。</w:t>
      </w:r>
    </w:p>
    <w:p w:rsidR="00406F2E" w:rsidRPr="00406F2E" w:rsidRDefault="00406F2E" w:rsidP="00406F2E">
      <w:pPr>
        <w:widowControl/>
        <w:shd w:val="clear" w:color="auto" w:fill="FFFFFF"/>
        <w:spacing w:line="480" w:lineRule="atLeast"/>
        <w:jc w:val="right"/>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安徽省人民代表大会常务委员会</w:t>
      </w:r>
    </w:p>
    <w:p w:rsidR="00406F2E" w:rsidRPr="00406F2E" w:rsidRDefault="00406F2E" w:rsidP="00406F2E">
      <w:pPr>
        <w:widowControl/>
        <w:shd w:val="clear" w:color="auto" w:fill="FFFFFF"/>
        <w:spacing w:line="480" w:lineRule="atLeast"/>
        <w:jc w:val="right"/>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2022年3月25日</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安徽省教育督导条例</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（2022年3月25日安徽省第十三届人民代表大会</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常务委员会第三十三次会议通过）</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目    录</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第一章  总    则</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第二章  督    学</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第三章  督导事项和实施</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第四章  督导结果运用</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第五章  法律责任</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第六章  附    则</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第一章  总    则</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第一条  为了加强教育督导工作，保证教育法律、法规、规章和国家教育方针、政策的贯彻执行，促进教育公平，推动教育高质量发展，根据《中华人民共</w:t>
      </w:r>
      <w:r w:rsidRPr="00406F2E">
        <w:rPr>
          <w:rFonts w:ascii="微软雅黑" w:eastAsia="微软雅黑" w:hAnsi="微软雅黑" w:cs="宋体" w:hint="eastAsia"/>
          <w:color w:val="333333"/>
          <w:kern w:val="0"/>
          <w:sz w:val="24"/>
          <w:szCs w:val="24"/>
        </w:rPr>
        <w:lastRenderedPageBreak/>
        <w:t>和国教育法》、国务院《教育督导条例》和有关法律、行政法规，结合本省实际，制定本条例。</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第二条  本条例适用于本省行政区域内的教育督导活动。</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教育督导包括以下内容：</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（一）县级以上人民政府对本级人民政府有关部门和下级人民政府落实教育法律、法规、规章和国家教育方针、政策的督导；</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（二）县级以上人民政府对本行政区域内的学校和其他教育机构（以下统称学校）教育教学工作的督导；</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（三）按照规定对教育发展状况和教育质量开展的评估监测。</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第三条  实施教育督导应当坚持党的领导，落实立德树人根本任务，并坚持以下原则：</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（一）以提高教育教学质量为中心；</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（二）遵循教育规律；</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（三）遵守教育法律、法规、规章和国家教育方针、政策的规定；</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（四）对政府的督导与对学校的督导并重，监督与指导并重；</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（五）实事求是、客观公正。</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第四条  县级以上人民政府教育督导委员会是本级人民政府负责教育督导的机构，在本级人民政府领导下独立行使督导职能，负责统筹、协调、指导本行政区域内的教育督导工作，审议、决定教育督导工作的重大事项，协调解决教育督导工作中的重大问题。</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县级以上人民政府教育督导委员会办公室是本级教育督导委员会的办事机构，承担教育督导委员会的日常工作，负责教育督导的具体实施。</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lastRenderedPageBreak/>
        <w:t>县级以上人民政府教育督导委员会成员单位按照各自职责做好教育督导相关工作。</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上级人民政府教育督导委员会应当加强对下级人民政府教育督导委员会的指导和管理。</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第五条  县级以上人民政府应当加强对教育督导工作的领导，将教育督导经费列入财政预算，并根据本行政区域教育规模和教育督导工作需求，保障教育督导工作人员配备和工作条件。</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第六条  鼓励、支持教育督导机构加强国内国际交流合作和信息化建设，提升教育督导水平。</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鼓励和支持学生及其家长、社会组织、社会公众有序参与教育督导。</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第二章  督    学</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第七条  教育督导机构应当配备督学，包括专职督学和兼职督学。担任专职督学和兼职督学应当符合国家规定的任职条件。</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县级以上人民政府根据教育督导工作需要，为本级教育督导机构配备专职督学。专职督学由县级以上人民政府任命。</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教育督导机构可以根据教育督导工作需要聘任兼职督学。兼职督学的任期为三年，可以连续任职，连续任职不得超过三个任期。</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督学任命和聘任的具体标准、程序、方式等，按照国家和省有关规定执行。</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第八条  督学受教育督导机构的指派实施教育督导。</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教育督导机构应当加强对督学实施督导活动的管理，定期对督学进行专业培训，支持督学开展教育督导科学研究和交流。</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第九条  督学在实施督导活动中有下列情形之一的，应当回避：</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lastRenderedPageBreak/>
        <w:t>（一）系被督导单位工作人员或者从被督导单位离职不满三年的；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（二）与被督导单位主要负责人存在近亲属关系的；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（三）配偶、父母或者子女在被督导单位就业或者就学的；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（四）其他可能影响客观公正实施教育督导情形的。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第十条  教育督导机构应当为督学开展工作提供必要的条件保障。督学在实施督导活动中产生的通信、交通、食宿、劳务等费用支出，按照国家和省有关规定执行。</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县级以上人民政府及有关部门应当支持符合条件的督学晋升职级或者职称。督学从事教育督导的工作量以及工作实绩，按照规定作为其职称晋升的业绩成果。</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第十一条  教育督导机构应当建立督学考核和激励机制，定期对督学履行职责情况进行考核。对工作业绩突出的，给予奖励；对考核不合格的，由本级人民政府取消任命或者由教育督导机构予以解聘。</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第三章  督导事项和实施</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第十二条  教育督导机构对本级人民政府有关部门和下级人民政府实施的教育督导，包括下列事项：</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（一）教育法律、法规、规章和国家教育方针、政策的贯彻执行情况；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（二）教育事业优先发展保障、教育相关规划的部署与落实、教育改革发展工作推进情况；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（三）学前教育</w:t>
      </w:r>
      <w:proofErr w:type="gramStart"/>
      <w:r w:rsidRPr="00406F2E">
        <w:rPr>
          <w:rFonts w:ascii="微软雅黑" w:eastAsia="微软雅黑" w:hAnsi="微软雅黑" w:cs="宋体" w:hint="eastAsia"/>
          <w:color w:val="333333"/>
          <w:kern w:val="0"/>
          <w:sz w:val="24"/>
          <w:szCs w:val="24"/>
        </w:rPr>
        <w:t>普及普</w:t>
      </w:r>
      <w:proofErr w:type="gramEnd"/>
      <w:r w:rsidRPr="00406F2E">
        <w:rPr>
          <w:rFonts w:ascii="微软雅黑" w:eastAsia="微软雅黑" w:hAnsi="微软雅黑" w:cs="宋体" w:hint="eastAsia"/>
          <w:color w:val="333333"/>
          <w:kern w:val="0"/>
          <w:sz w:val="24"/>
          <w:szCs w:val="24"/>
        </w:rPr>
        <w:t>惠、义务教育均衡发展、教育现代化和各级各类教育协调发展、教育公平统筹推进情况；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（四）教育经费的投入、管理与使用情况；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（五）办学条件的保障与改善以及教育教学环境优化情况；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lastRenderedPageBreak/>
        <w:t>（六）校长队伍建设，人员配备、职称评定等教师队伍建设，以及教师和其他教育工作者的权益保障情况；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（七）义务教育阶段学生作业负担和校外培训负担减轻工作及成效，依法依规查处教师校外有偿补课行为等情况；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（八）教育热点、难点问题解决和教育突发事件处置情况；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（九）应当依法督导的其他事项。</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第十三条  教育督导机构对学校实施的教育督导，包括下列事项：</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（一）学校党的建设、共青团建设、少先队建设以及工会建设等工作情况；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（二）依法依规办学办园，提高管理水平和教育教学质量情况；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（三）学生德智体美劳全面发展情况；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（四）思想政治理论课建设、教育教学、科学研究、教育评价改革等情况；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（五）教师队伍建设以及师德师风、教师专业发展情况；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（六）教育资源、教育收费、教育经费管理和使用情况；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（七）学校招生、学籍管理、学生资助情况；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（八）义务教育阶段学生作业负担减轻情况；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（九）安全稳定、卫生防疫、食品安全、学生欺凌防控、身心健康教育等情况；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（十）完善家庭教育指导机制，推进家庭、学校、社会共同教育情况；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（十一）应当依法督导的其他事项。</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第十四条  教育督导机构应当根据本行政区域内的教育发展现状和实际需要，建立教育评估监测机制，完善教育评估监测标准和规程，组织开展教育评估监测工作。</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lastRenderedPageBreak/>
        <w:t>教育督导机构可以委托具备条件的专业机构和社会组织开展教育评估监测活动，并将其提供的评估报告、监测结果作为实施教育督导的重要参考。</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鼓励利用互联网、大数据、</w:t>
      </w:r>
      <w:proofErr w:type="gramStart"/>
      <w:r w:rsidRPr="00406F2E">
        <w:rPr>
          <w:rFonts w:ascii="微软雅黑" w:eastAsia="微软雅黑" w:hAnsi="微软雅黑" w:cs="宋体" w:hint="eastAsia"/>
          <w:color w:val="333333"/>
          <w:kern w:val="0"/>
          <w:sz w:val="24"/>
          <w:szCs w:val="24"/>
        </w:rPr>
        <w:t>云计算</w:t>
      </w:r>
      <w:proofErr w:type="gramEnd"/>
      <w:r w:rsidRPr="00406F2E">
        <w:rPr>
          <w:rFonts w:ascii="微软雅黑" w:eastAsia="微软雅黑" w:hAnsi="微软雅黑" w:cs="宋体" w:hint="eastAsia"/>
          <w:color w:val="333333"/>
          <w:kern w:val="0"/>
          <w:sz w:val="24"/>
          <w:szCs w:val="24"/>
        </w:rPr>
        <w:t>等信息技术手段开展教育评估监测工作。</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第十五条  教育督导采取经常性督导、专项督导和综合督导相结合的形式。</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教育督导机构根据本行政区域内的学校布局设立教育督导责任区，指派督学对责任区内的学校实施经常性督导。督学的姓名、联系方式和督导事项应当向社会公布。</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经常性督导可以采取课堂听课、资料查阅、座谈走访、问卷调查、校园查看、暗访等方式。督学对责任区内学校实施经常性督导每学期不得少于两次。</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第十六条  教育督导机构根据教育发展需要或者本级人民政府的要求实施专项督导。</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教育督导机构应当每年对本级人民政府有关部门和下级人民政府履行教育职责情况组织一次综合督导，每三至五年对本行政区域内学校实施一次综合督导，按照规定实施学校</w:t>
      </w:r>
      <w:proofErr w:type="gramStart"/>
      <w:r w:rsidRPr="00406F2E">
        <w:rPr>
          <w:rFonts w:ascii="微软雅黑" w:eastAsia="微软雅黑" w:hAnsi="微软雅黑" w:cs="宋体" w:hint="eastAsia"/>
          <w:color w:val="333333"/>
          <w:kern w:val="0"/>
          <w:sz w:val="24"/>
          <w:szCs w:val="24"/>
        </w:rPr>
        <w:t>校</w:t>
      </w:r>
      <w:proofErr w:type="gramEnd"/>
      <w:r w:rsidRPr="00406F2E">
        <w:rPr>
          <w:rFonts w:ascii="微软雅黑" w:eastAsia="微软雅黑" w:hAnsi="微软雅黑" w:cs="宋体" w:hint="eastAsia"/>
          <w:color w:val="333333"/>
          <w:kern w:val="0"/>
          <w:sz w:val="24"/>
          <w:szCs w:val="24"/>
        </w:rPr>
        <w:t>（园）长任期结束综合督导。</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第十七条  教育督导机构实施专项督导或者综合督导，应当确定督导事项，成立督导小组，事先向被督导单位发出书面督导通知。督导小组由三名以上督学组成。</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教育督导机构可以根据需要联合有关部门实施督导活动，也可以聘请相关专业人员参加督导活动。</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第十八条  教育督导机构可以要求被督导单位组织自评。被督导单位应当按照要求进行自评，将自评报告报送教育督导机构。督导小组应当审核被督导单位的自评报告，并进行现场考察。</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lastRenderedPageBreak/>
        <w:t>第十九条  教育督导机构实施专项督导或者综合督导，应当征求人大代表、政协委员的意见，征求公众对被督导单位的意见，并采取召开座谈会或者其他形式听取学生及其家长和教师的意见。</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第二十条  督导小组应当对被督导单位的自评报告、现场考察情况和公众的意见进行评议，形成初步督导意见。督导小组应当向被督导单位反馈初步督导意见，被督导单位可以进行申辩。教育督导机构应当根据督导小组的初步督导意见，综合分析被督导单位的申辩意见，向被督导单位发出督导意见书。</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第四章  督导结果运用</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第二十一条  专项督导或者综合督导结束，教育督导机构应当在六十日内向本级人民政府提交督导报告，并报上一级教育督导机构备案。教育督导机构提交督导报告前，可以采取适当方式征求被督导单位的意见。</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经常性督导结束，督学应当向教育督导机构报告；发现违法违规办学行为或者危及师生生命安全等隐患，应当及时督促学校和有关部门处理。</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第二十二条  督导报告应当通过政府门户网站、新闻媒体等向社会公布。对督导报告有异议的，可以向发布督导报告的教育督导机构反映。教育督导机构应当调查核实，并及时反馈核实情况。</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第二十三条  被督导单位应当根据督导意见书进行整改，并将整改情况报告教育督导机构。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被督导单位未能按照要求完成整改任务的，教育督导机构应当及时督办，要求限期整改，并按照有关规定进行通报。</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第二十四条  教育督导机构应当建立健全教育督导复查制度，对督导发现问题的整改情况及时进行复查，巩固督导成效。</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lastRenderedPageBreak/>
        <w:t>第二十五条  教育督导机构发现被督导单位在履行教育职责、规范办学、教育教学质量、校园安全等方面存在重大问题的，应当约谈被督导单位主要负责人。</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第二十六条  县级以上人民政府及其有关部门应当按照国家有关规定落实教育督导激励和问责制度。</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县级以上人民政府或者有关主管部门应当将督导报告作为对被督导单位及其主要负责人进行考核、奖惩的重要依据。</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第二十七条  教育督导机构在实施督导过程中发现被督导单位存在违法行为，需要移交相关部门调查处理的，应当依法移交。</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第五章  法律责任</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第二十八条  被督导单位及其工作人员有下列情形之一的，由教育督导机构通报批评并责令改正；拒不改正或者情节严重的，对直接负责的主管人员和其他责任人员，由教育督导机构向有关人民政府或者主管部门提出给予处分的建议：</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（一）拒绝、阻挠教育督导机构或者督学依法实施教育督导的；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（二）隐瞒实情、弄虚作假，欺骗教育督导机构或者督学的；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（三）未根据督导意见书进行整改并将整改情况报告教育督导机构的；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（四）打击报复督学的；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（五）有其他严重妨碍教育督导机构或者督学依法履行职责情形的。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第二十九条  督学违反本条例第九条规定，应当回避而未回避的，由教育督导机构给予批评教育。</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第三十条  督学或者教育督导机构工作人员有下列情形之一的，由教育督导机构给予批评教育；情节严重的，依法给予处分，对督学还应当取消任命或者聘任；构成犯罪的，依法追究刑事责任：</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lastRenderedPageBreak/>
        <w:t>（一）玩忽职守，贻误督导工作的；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（二）弄虚作假，徇私舞弊，影响督导结果公正的；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（三）滥用职权，干扰被督导单位正常工作的。</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第三十一条  违反本条例规定的行为，法律法规另有处理规定的，从其规定。</w:t>
      </w:r>
    </w:p>
    <w:p w:rsidR="00406F2E" w:rsidRPr="00406F2E" w:rsidRDefault="00406F2E" w:rsidP="00406F2E">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b/>
          <w:bCs/>
          <w:color w:val="333333"/>
          <w:kern w:val="0"/>
          <w:sz w:val="24"/>
          <w:szCs w:val="24"/>
        </w:rPr>
        <w:t>第六章  附    则</w:t>
      </w:r>
    </w:p>
    <w:p w:rsidR="00406F2E" w:rsidRPr="00406F2E" w:rsidRDefault="00406F2E" w:rsidP="00406F2E">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406F2E">
        <w:rPr>
          <w:rFonts w:ascii="微软雅黑" w:eastAsia="微软雅黑" w:hAnsi="微软雅黑" w:cs="宋体" w:hint="eastAsia"/>
          <w:color w:val="333333"/>
          <w:kern w:val="0"/>
          <w:sz w:val="24"/>
          <w:szCs w:val="24"/>
        </w:rPr>
        <w:t>第三十二条  本条例自2022年6月1日起施行。</w:t>
      </w:r>
    </w:p>
    <w:p w:rsidR="00406F2E" w:rsidRPr="00406F2E" w:rsidRDefault="00406F2E" w:rsidP="00406F2E">
      <w:pPr>
        <w:widowControl/>
        <w:shd w:val="clear" w:color="auto" w:fill="FFFFFF"/>
        <w:spacing w:line="360" w:lineRule="atLeast"/>
        <w:jc w:val="center"/>
        <w:rPr>
          <w:rFonts w:ascii="微软雅黑" w:eastAsia="微软雅黑" w:hAnsi="微软雅黑" w:cs="宋体" w:hint="eastAsia"/>
          <w:color w:val="C0C0C0"/>
          <w:kern w:val="0"/>
          <w:szCs w:val="21"/>
        </w:rPr>
      </w:pPr>
      <w:r w:rsidRPr="00406F2E">
        <w:rPr>
          <w:rFonts w:ascii="微软雅黑" w:eastAsia="微软雅黑" w:hAnsi="微软雅黑" w:cs="宋体" w:hint="eastAsia"/>
          <w:color w:val="C0C0C0"/>
          <w:kern w:val="0"/>
          <w:szCs w:val="21"/>
        </w:rPr>
        <w:t>扫一扫在手机打开当前页</w:t>
      </w:r>
    </w:p>
    <w:p w:rsidR="00406F2E" w:rsidRPr="00406F2E" w:rsidRDefault="00406F2E" w:rsidP="00406F2E">
      <w:pPr>
        <w:widowControl/>
        <w:shd w:val="clear" w:color="auto" w:fill="FFFFFF"/>
        <w:jc w:val="center"/>
        <w:rPr>
          <w:rFonts w:ascii="微软雅黑" w:eastAsia="微软雅黑" w:hAnsi="微软雅黑" w:cs="宋体" w:hint="eastAsia"/>
          <w:color w:val="C0C0C0"/>
          <w:kern w:val="0"/>
          <w:szCs w:val="21"/>
        </w:rPr>
      </w:pPr>
    </w:p>
    <w:p w:rsidR="00453C12" w:rsidRPr="00406F2E" w:rsidRDefault="00453C12"/>
    <w:sectPr w:rsidR="00453C12" w:rsidRPr="00406F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2E"/>
    <w:rsid w:val="00406F2E"/>
    <w:rsid w:val="00453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06F2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6F2E"/>
    <w:rPr>
      <w:rFonts w:ascii="宋体" w:eastAsia="宋体" w:hAnsi="宋体" w:cs="宋体"/>
      <w:b/>
      <w:bCs/>
      <w:kern w:val="36"/>
      <w:sz w:val="48"/>
      <w:szCs w:val="48"/>
    </w:rPr>
  </w:style>
  <w:style w:type="character" w:customStyle="1" w:styleId="j-info-hit">
    <w:name w:val="j-info-hit"/>
    <w:basedOn w:val="a0"/>
    <w:rsid w:val="00406F2E"/>
  </w:style>
  <w:style w:type="character" w:styleId="a3">
    <w:name w:val="Hyperlink"/>
    <w:basedOn w:val="a0"/>
    <w:uiPriority w:val="99"/>
    <w:semiHidden/>
    <w:unhideWhenUsed/>
    <w:rsid w:val="00406F2E"/>
    <w:rPr>
      <w:color w:val="0000FF"/>
      <w:u w:val="single"/>
    </w:rPr>
  </w:style>
  <w:style w:type="paragraph" w:styleId="a4">
    <w:name w:val="Normal (Web)"/>
    <w:basedOn w:val="a"/>
    <w:uiPriority w:val="99"/>
    <w:semiHidden/>
    <w:unhideWhenUsed/>
    <w:rsid w:val="00406F2E"/>
    <w:pPr>
      <w:widowControl/>
      <w:spacing w:before="100" w:beforeAutospacing="1" w:after="100" w:afterAutospacing="1"/>
      <w:jc w:val="left"/>
    </w:pPr>
    <w:rPr>
      <w:rFonts w:ascii="宋体" w:eastAsia="宋体" w:hAnsi="宋体" w:cs="宋体"/>
      <w:kern w:val="0"/>
      <w:sz w:val="24"/>
      <w:szCs w:val="24"/>
    </w:rPr>
  </w:style>
  <w:style w:type="paragraph" w:customStyle="1" w:styleId="txt-color">
    <w:name w:val="txt-color"/>
    <w:basedOn w:val="a"/>
    <w:rsid w:val="00406F2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06F2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6F2E"/>
    <w:rPr>
      <w:rFonts w:ascii="宋体" w:eastAsia="宋体" w:hAnsi="宋体" w:cs="宋体"/>
      <w:b/>
      <w:bCs/>
      <w:kern w:val="36"/>
      <w:sz w:val="48"/>
      <w:szCs w:val="48"/>
    </w:rPr>
  </w:style>
  <w:style w:type="character" w:customStyle="1" w:styleId="j-info-hit">
    <w:name w:val="j-info-hit"/>
    <w:basedOn w:val="a0"/>
    <w:rsid w:val="00406F2E"/>
  </w:style>
  <w:style w:type="character" w:styleId="a3">
    <w:name w:val="Hyperlink"/>
    <w:basedOn w:val="a0"/>
    <w:uiPriority w:val="99"/>
    <w:semiHidden/>
    <w:unhideWhenUsed/>
    <w:rsid w:val="00406F2E"/>
    <w:rPr>
      <w:color w:val="0000FF"/>
      <w:u w:val="single"/>
    </w:rPr>
  </w:style>
  <w:style w:type="paragraph" w:styleId="a4">
    <w:name w:val="Normal (Web)"/>
    <w:basedOn w:val="a"/>
    <w:uiPriority w:val="99"/>
    <w:semiHidden/>
    <w:unhideWhenUsed/>
    <w:rsid w:val="00406F2E"/>
    <w:pPr>
      <w:widowControl/>
      <w:spacing w:before="100" w:beforeAutospacing="1" w:after="100" w:afterAutospacing="1"/>
      <w:jc w:val="left"/>
    </w:pPr>
    <w:rPr>
      <w:rFonts w:ascii="宋体" w:eastAsia="宋体" w:hAnsi="宋体" w:cs="宋体"/>
      <w:kern w:val="0"/>
      <w:sz w:val="24"/>
      <w:szCs w:val="24"/>
    </w:rPr>
  </w:style>
  <w:style w:type="paragraph" w:customStyle="1" w:styleId="txt-color">
    <w:name w:val="txt-color"/>
    <w:basedOn w:val="a"/>
    <w:rsid w:val="00406F2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32764">
      <w:bodyDiv w:val="1"/>
      <w:marLeft w:val="0"/>
      <w:marRight w:val="0"/>
      <w:marTop w:val="0"/>
      <w:marBottom w:val="0"/>
      <w:divBdr>
        <w:top w:val="none" w:sz="0" w:space="0" w:color="auto"/>
        <w:left w:val="none" w:sz="0" w:space="0" w:color="auto"/>
        <w:bottom w:val="none" w:sz="0" w:space="0" w:color="auto"/>
        <w:right w:val="none" w:sz="0" w:space="0" w:color="auto"/>
      </w:divBdr>
      <w:divsChild>
        <w:div w:id="878518998">
          <w:marLeft w:val="0"/>
          <w:marRight w:val="0"/>
          <w:marTop w:val="0"/>
          <w:marBottom w:val="0"/>
          <w:divBdr>
            <w:top w:val="none" w:sz="0" w:space="0" w:color="auto"/>
            <w:left w:val="none" w:sz="0" w:space="0" w:color="auto"/>
            <w:bottom w:val="single" w:sz="6" w:space="9" w:color="DDDDDD"/>
            <w:right w:val="none" w:sz="0" w:space="0" w:color="auto"/>
          </w:divBdr>
        </w:div>
        <w:div w:id="1843667787">
          <w:marLeft w:val="0"/>
          <w:marRight w:val="0"/>
          <w:marTop w:val="0"/>
          <w:marBottom w:val="0"/>
          <w:divBdr>
            <w:top w:val="none" w:sz="0" w:space="0" w:color="auto"/>
            <w:left w:val="none" w:sz="0" w:space="0" w:color="auto"/>
            <w:bottom w:val="none" w:sz="0" w:space="0" w:color="auto"/>
            <w:right w:val="none" w:sz="0" w:space="0" w:color="auto"/>
          </w:divBdr>
        </w:div>
        <w:div w:id="179398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675</Words>
  <Characters>3854</Characters>
  <Application>Microsoft Office Word</Application>
  <DocSecurity>0</DocSecurity>
  <Lines>32</Lines>
  <Paragraphs>9</Paragraphs>
  <ScaleCrop>false</ScaleCrop>
  <Company>Hewlett-Packard Company</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李必高</dc:creator>
  <cp:lastModifiedBy>李必高</cp:lastModifiedBy>
  <cp:revision>1</cp:revision>
  <dcterms:created xsi:type="dcterms:W3CDTF">2022-04-27T01:41:00Z</dcterms:created>
  <dcterms:modified xsi:type="dcterms:W3CDTF">2022-04-27T01:42:00Z</dcterms:modified>
</cp:coreProperties>
</file>