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adjustRightInd w:val="0"/>
        <w:snapToGrid w:val="0"/>
        <w:spacing w:beforeAutospacing="0" w:afterAutospacing="0" w:line="360" w:lineRule="auto"/>
        <w:jc w:val="center"/>
        <w:rPr>
          <w:rStyle w:val="14"/>
          <w:rFonts w:cs="宋体"/>
          <w:sz w:val="32"/>
          <w:szCs w:val="32"/>
          <w:lang w:bidi="ar"/>
        </w:rPr>
      </w:pPr>
      <w:r>
        <w:rPr>
          <w:rStyle w:val="14"/>
          <w:rFonts w:hint="eastAsia" w:cs="宋体"/>
          <w:sz w:val="32"/>
          <w:szCs w:val="32"/>
          <w:lang w:bidi="ar"/>
        </w:rPr>
        <w:t>2025年安徽商贸职业技术学院教科研管理一体化平台</w:t>
      </w:r>
    </w:p>
    <w:p>
      <w:pPr>
        <w:pStyle w:val="9"/>
        <w:widowControl/>
        <w:adjustRightInd w:val="0"/>
        <w:snapToGrid w:val="0"/>
        <w:spacing w:beforeAutospacing="0" w:afterAutospacing="0" w:line="360" w:lineRule="auto"/>
        <w:jc w:val="center"/>
        <w:rPr>
          <w:rStyle w:val="14"/>
          <w:rFonts w:ascii="宋体" w:hAnsi="宋体" w:cs="宋体"/>
          <w:sz w:val="32"/>
          <w:szCs w:val="32"/>
          <w:lang w:bidi="ar"/>
        </w:rPr>
      </w:pPr>
      <w:r>
        <w:rPr>
          <w:rStyle w:val="14"/>
          <w:rFonts w:hint="eastAsia" w:cs="宋体"/>
          <w:sz w:val="32"/>
          <w:szCs w:val="32"/>
          <w:lang w:bidi="ar"/>
        </w:rPr>
        <w:t>——督导巡课设备项目需求方案</w:t>
      </w:r>
    </w:p>
    <w:p>
      <w:pPr>
        <w:numPr>
          <w:ilvl w:val="0"/>
          <w:numId w:val="1"/>
        </w:numPr>
        <w:outlineLvl w:val="0"/>
        <w:rPr>
          <w:rFonts w:cs="宋体"/>
          <w:b/>
          <w:bCs/>
          <w:sz w:val="24"/>
          <w:szCs w:val="24"/>
        </w:rPr>
      </w:pPr>
      <w:r>
        <w:rPr>
          <w:rFonts w:hint="eastAsia" w:cs="宋体"/>
          <w:b/>
          <w:bCs/>
          <w:sz w:val="24"/>
          <w:szCs w:val="24"/>
        </w:rPr>
        <w:t>项目名称</w:t>
      </w:r>
    </w:p>
    <w:p>
      <w:pPr>
        <w:spacing w:line="360" w:lineRule="auto"/>
        <w:ind w:firstLine="420"/>
        <w:outlineLvl w:val="0"/>
        <w:rPr>
          <w:rFonts w:cs="宋体"/>
          <w:b/>
          <w:bCs/>
          <w:sz w:val="24"/>
          <w:szCs w:val="24"/>
        </w:rPr>
      </w:pPr>
      <w:r>
        <w:rPr>
          <w:rFonts w:hint="eastAsia" w:ascii="宋体" w:hAnsi="宋体" w:cs="Arial"/>
          <w:sz w:val="24"/>
          <w:szCs w:val="24"/>
        </w:rPr>
        <w:t>2025年安徽商贸职业技术学院教科研管理一体化平台-督导巡课设备项目</w:t>
      </w:r>
    </w:p>
    <w:p>
      <w:pPr>
        <w:numPr>
          <w:ilvl w:val="0"/>
          <w:numId w:val="1"/>
        </w:numPr>
        <w:outlineLvl w:val="0"/>
        <w:rPr>
          <w:rFonts w:cs="宋体"/>
          <w:b/>
          <w:bCs/>
          <w:sz w:val="24"/>
          <w:szCs w:val="24"/>
        </w:rPr>
      </w:pPr>
      <w:r>
        <w:rPr>
          <w:rFonts w:hint="eastAsia" w:cs="宋体"/>
          <w:b/>
          <w:bCs/>
          <w:sz w:val="24"/>
          <w:szCs w:val="24"/>
        </w:rPr>
        <w:t>项目背景</w:t>
      </w:r>
    </w:p>
    <w:p>
      <w:pPr>
        <w:pStyle w:val="16"/>
        <w:spacing w:line="360" w:lineRule="auto"/>
        <w:ind w:firstLine="480"/>
        <w:rPr>
          <w:rFonts w:ascii="宋体" w:hAnsi="宋体" w:cs="Arial"/>
          <w:sz w:val="24"/>
          <w:szCs w:val="24"/>
        </w:rPr>
      </w:pPr>
      <w:r>
        <w:rPr>
          <w:rFonts w:hint="eastAsia" w:ascii="宋体" w:hAnsi="宋体" w:cs="Arial"/>
          <w:sz w:val="24"/>
          <w:szCs w:val="24"/>
        </w:rPr>
        <w:t>为全面完善教学督导巡课工作体系、发挥巡课工作实效、促进学校教学高质量发展，拟更新现有的督导巡课设备。考虑到巡课数据采集的精准性和敏感性，为满足课堂数据采集与分析的准确度，保障教室摄像设备在各类光线条件下能清晰捕捉课堂画面，精准成像，同时提高数据处理速度，保障视频流畅传输与实时分析，减少卡顿与延迟现象，现拟采购一批设备用于督导巡课项目使用。</w:t>
      </w:r>
    </w:p>
    <w:p>
      <w:pPr>
        <w:outlineLvl w:val="0"/>
        <w:rPr>
          <w:rFonts w:ascii="宋体" w:hAnsi="宋体" w:cs="宋体"/>
          <w:b/>
          <w:bCs/>
          <w:sz w:val="24"/>
          <w:szCs w:val="24"/>
        </w:rPr>
      </w:pPr>
      <w:r>
        <w:rPr>
          <w:rFonts w:hint="eastAsia" w:cs="宋体"/>
          <w:b/>
          <w:bCs/>
          <w:sz w:val="24"/>
          <w:szCs w:val="24"/>
        </w:rPr>
        <w:t>三</w:t>
      </w:r>
      <w:r>
        <w:rPr>
          <w:rFonts w:hint="eastAsia" w:ascii="宋体" w:hAnsi="宋体" w:cs="宋体"/>
          <w:b/>
          <w:bCs/>
          <w:sz w:val="24"/>
          <w:szCs w:val="24"/>
        </w:rPr>
        <w:t>、技术需求</w:t>
      </w:r>
    </w:p>
    <w:p>
      <w:pPr>
        <w:spacing w:line="480" w:lineRule="exact"/>
        <w:ind w:firstLine="480" w:firstLineChars="200"/>
        <w:jc w:val="left"/>
        <w:rPr>
          <w:rFonts w:ascii="宋体" w:hAnsi="宋体" w:cs="宋体"/>
          <w:sz w:val="24"/>
          <w:szCs w:val="24"/>
        </w:rPr>
      </w:pPr>
      <w:r>
        <w:rPr>
          <w:rFonts w:hint="eastAsia" w:ascii="宋体" w:hAnsi="宋体" w:cs="宋体"/>
          <w:sz w:val="24"/>
          <w:szCs w:val="24"/>
        </w:rPr>
        <w:t>本次砺能楼四号楼教室监控改造，建设包含前端网络摄像机、云存储等主设备。通过和校园现有天网系统整合，用户可在统一的管理界面调用所有资源，并可根据实际情况分配用户权限给相应操作员或用户，实现教学区域的全方位管控。</w:t>
      </w:r>
    </w:p>
    <w:p>
      <w:pPr>
        <w:spacing w:line="480" w:lineRule="exact"/>
        <w:ind w:firstLine="480" w:firstLineChars="200"/>
        <w:jc w:val="left"/>
        <w:rPr>
          <w:rFonts w:ascii="宋体" w:hAnsi="宋体" w:cs="宋体"/>
          <w:sz w:val="24"/>
          <w:szCs w:val="24"/>
        </w:rPr>
      </w:pPr>
      <w:r>
        <w:rPr>
          <w:rFonts w:hint="eastAsia" w:ascii="宋体" w:hAnsi="宋体" w:cs="宋体"/>
          <w:sz w:val="24"/>
          <w:szCs w:val="24"/>
        </w:rPr>
        <w:t>视频云存储扩容至现有视频云存储系统，有效解决海量高清视频图像数据的存储和管理需求，实现虚拟化集中管理。采用视频云存储系统提供高速数据接口，为应用平台提供视频数据高效检索、快速调取等服务，为业务应用提供有力支撑。</w:t>
      </w:r>
    </w:p>
    <w:p>
      <w:pPr>
        <w:spacing w:line="360" w:lineRule="auto"/>
        <w:ind w:firstLine="480"/>
        <w:rPr>
          <w:sz w:val="24"/>
        </w:rPr>
      </w:pPr>
      <w:r>
        <w:rPr>
          <w:rFonts w:hint="eastAsia"/>
          <w:sz w:val="24"/>
        </w:rPr>
        <w:t>搭建AI智慧巡课平台，在学校教学质量保障的主要环节的信息化覆盖基础之上，加强过程监控、提升数据收集统计的便捷性和有效性，及时做好学情分析、教学诊断，并进行反馈，跟进整改完善情况，形成教学质量评价闭环。具体包括：</w:t>
      </w:r>
    </w:p>
    <w:p>
      <w:pPr>
        <w:pStyle w:val="16"/>
        <w:spacing w:line="360" w:lineRule="auto"/>
        <w:ind w:firstLine="480"/>
        <w:rPr>
          <w:rFonts w:ascii="宋体" w:hAnsi="宋体" w:cs="宋体"/>
          <w:sz w:val="24"/>
        </w:rPr>
      </w:pPr>
      <w:r>
        <w:rPr>
          <w:rFonts w:hint="eastAsia" w:ascii="宋体" w:hAnsi="宋体" w:cs="宋体"/>
          <w:sz w:val="24"/>
        </w:rPr>
        <w:t>●高像素高清镜头、大尺寸感光元件、高性能芯片处理器、扩充存储模块容量。至少支持140间教室（每间教室包含2路摄像头）AI巡课。至少支持视频存储在原有基础上扩容15天以上。</w:t>
      </w:r>
    </w:p>
    <w:p>
      <w:pPr>
        <w:pStyle w:val="16"/>
        <w:spacing w:line="360" w:lineRule="auto"/>
        <w:ind w:firstLine="480"/>
        <w:rPr>
          <w:rFonts w:ascii="宋体" w:hAnsi="宋体" w:cs="宋体"/>
          <w:sz w:val="24"/>
        </w:rPr>
      </w:pPr>
      <w:r>
        <w:rPr>
          <w:rFonts w:hint="eastAsia" w:ascii="宋体" w:hAnsi="宋体" w:cs="宋体"/>
          <w:sz w:val="24"/>
        </w:rPr>
        <w:t>●与教室摄像设备对接实现督导线上实时听课、巡课业务，同时对接视频录像实现AI课堂分析业务，充分利用现有设备资源，减少建设成本。</w:t>
      </w:r>
    </w:p>
    <w:p>
      <w:pPr>
        <w:pStyle w:val="16"/>
        <w:spacing w:line="360" w:lineRule="auto"/>
        <w:ind w:firstLine="480"/>
        <w:rPr>
          <w:rFonts w:ascii="宋体" w:hAnsi="宋体" w:cs="宋体"/>
          <w:sz w:val="24"/>
        </w:rPr>
      </w:pPr>
      <w:r>
        <w:rPr>
          <w:rFonts w:hint="eastAsia" w:ascii="宋体" w:hAnsi="宋体" w:cs="宋体"/>
          <w:sz w:val="24"/>
        </w:rPr>
        <w:t>●系统集成服务要求：</w:t>
      </w:r>
    </w:p>
    <w:p>
      <w:pPr>
        <w:pStyle w:val="16"/>
        <w:spacing w:line="360" w:lineRule="auto"/>
        <w:ind w:firstLine="480"/>
        <w:rPr>
          <w:rFonts w:ascii="宋体" w:hAnsi="宋体" w:cs="宋体"/>
          <w:sz w:val="24"/>
        </w:rPr>
      </w:pPr>
      <w:r>
        <w:rPr>
          <w:rFonts w:hint="eastAsia" w:ascii="宋体" w:hAnsi="宋体" w:cs="宋体"/>
          <w:sz w:val="24"/>
        </w:rPr>
        <w:t>1.软硬件集成：负责服务器、存储、网络设备安装与上架；</w:t>
      </w:r>
    </w:p>
    <w:p>
      <w:pPr>
        <w:pStyle w:val="16"/>
        <w:spacing w:line="360" w:lineRule="auto"/>
        <w:ind w:firstLine="480"/>
        <w:rPr>
          <w:rFonts w:ascii="宋体" w:hAnsi="宋体" w:cs="宋体"/>
          <w:sz w:val="24"/>
        </w:rPr>
      </w:pPr>
      <w:r>
        <w:rPr>
          <w:rFonts w:hint="eastAsia" w:ascii="宋体" w:hAnsi="宋体" w:cs="宋体"/>
          <w:sz w:val="24"/>
        </w:rPr>
        <w:t>2.系统部署：安装操作系统、GPU驱动、CUDA/cuDNN、AI框架、转录软件等；</w:t>
      </w:r>
    </w:p>
    <w:p>
      <w:pPr>
        <w:pStyle w:val="16"/>
        <w:spacing w:line="360" w:lineRule="auto"/>
        <w:ind w:firstLine="480"/>
        <w:rPr>
          <w:rFonts w:ascii="宋体" w:hAnsi="宋体" w:cs="宋体"/>
          <w:sz w:val="24"/>
        </w:rPr>
      </w:pPr>
      <w:r>
        <w:rPr>
          <w:rFonts w:hint="eastAsia" w:ascii="宋体" w:hAnsi="宋体" w:cs="宋体"/>
          <w:sz w:val="24"/>
        </w:rPr>
        <w:t>3.测试与验收：GPU算力测试、存储带宽/IOPS测试、转录准确率（≥95%）；</w:t>
      </w:r>
    </w:p>
    <w:p>
      <w:pPr>
        <w:pStyle w:val="16"/>
        <w:spacing w:line="360" w:lineRule="auto"/>
        <w:ind w:firstLine="480"/>
        <w:rPr>
          <w:rFonts w:ascii="宋体" w:hAnsi="宋体" w:cs="宋体"/>
          <w:sz w:val="24"/>
        </w:rPr>
      </w:pPr>
      <w:r>
        <w:rPr>
          <w:rFonts w:hint="eastAsia" w:ascii="宋体" w:hAnsi="宋体" w:cs="宋体"/>
          <w:sz w:val="24"/>
        </w:rPr>
        <w:t>4.培训与文档：提供操作手册、运维手册，现场培训；</w:t>
      </w:r>
    </w:p>
    <w:p>
      <w:pPr>
        <w:pStyle w:val="16"/>
        <w:spacing w:line="360" w:lineRule="auto"/>
        <w:ind w:firstLine="480"/>
        <w:rPr>
          <w:rFonts w:ascii="宋体" w:hAnsi="宋体" w:cs="宋体"/>
          <w:sz w:val="24"/>
        </w:rPr>
      </w:pPr>
      <w:r>
        <w:rPr>
          <w:rFonts w:hint="eastAsia" w:ascii="宋体" w:hAnsi="宋体" w:cs="宋体"/>
          <w:sz w:val="24"/>
        </w:rPr>
        <w:t>5.售后服务：</w:t>
      </w:r>
    </w:p>
    <w:p>
      <w:pPr>
        <w:pStyle w:val="16"/>
        <w:spacing w:line="360" w:lineRule="auto"/>
        <w:ind w:firstLine="720" w:firstLineChars="300"/>
        <w:rPr>
          <w:rFonts w:ascii="宋体" w:hAnsi="宋体" w:cs="宋体"/>
          <w:sz w:val="24"/>
        </w:rPr>
      </w:pPr>
      <w:r>
        <w:rPr>
          <w:rFonts w:hint="eastAsia" w:ascii="宋体" w:hAnsi="宋体" w:cs="宋体"/>
          <w:sz w:val="24"/>
        </w:rPr>
        <w:t>1）三年质保；</w:t>
      </w:r>
    </w:p>
    <w:p>
      <w:pPr>
        <w:pStyle w:val="16"/>
        <w:spacing w:line="360" w:lineRule="auto"/>
        <w:ind w:firstLine="720" w:firstLineChars="300"/>
        <w:rPr>
          <w:rFonts w:ascii="宋体" w:hAnsi="宋体" w:cs="宋体"/>
          <w:sz w:val="24"/>
        </w:rPr>
      </w:pPr>
      <w:r>
        <w:rPr>
          <w:rFonts w:hint="eastAsia" w:ascii="宋体" w:hAnsi="宋体" w:cs="宋体"/>
          <w:sz w:val="24"/>
        </w:rPr>
        <w:t>2）故障响应及恢复时间：售后服务期间，系统保持 7*24 小时正常运行，全年非计划停机时间&lt;2 小时。在系统使用寿命期间，对出现的因软件自身错误引起的故障时，供应商提供免费解决服务。系统出现故障后半小时内响应，2 小时内进行处理，4 小时内恢复使用，较严重故障，24 小时内修复；</w:t>
      </w:r>
    </w:p>
    <w:p>
      <w:pPr>
        <w:pStyle w:val="16"/>
        <w:spacing w:line="360" w:lineRule="auto"/>
        <w:ind w:firstLine="720" w:firstLineChars="300"/>
        <w:rPr>
          <w:rFonts w:ascii="宋体" w:hAnsi="宋体" w:cs="宋体"/>
          <w:sz w:val="24"/>
        </w:rPr>
      </w:pPr>
      <w:r>
        <w:rPr>
          <w:rFonts w:hint="eastAsia" w:ascii="宋体" w:hAnsi="宋体" w:cs="宋体"/>
          <w:sz w:val="24"/>
        </w:rPr>
        <w:t>3）定期巡检及技术支持：在合同货物正式投入运行使用后，供应商成立不少于 2 人的售后服务团队，会根据采购人实际使用情况，通过定期巡检保养、上门面访、电话回访等方式，对系统使用情况进行定期总结，并及时提供技术培训、咨询服务和技术支持等。</w:t>
      </w:r>
    </w:p>
    <w:p>
      <w:pPr>
        <w:pStyle w:val="16"/>
        <w:spacing w:line="360" w:lineRule="auto"/>
        <w:ind w:firstLine="720" w:firstLineChars="300"/>
        <w:rPr>
          <w:rFonts w:ascii="宋体" w:hAnsi="宋体" w:cs="宋体"/>
          <w:sz w:val="24"/>
        </w:rPr>
      </w:pPr>
      <w:r>
        <w:rPr>
          <w:rFonts w:hint="eastAsia" w:ascii="宋体" w:hAnsi="宋体" w:cs="宋体"/>
          <w:sz w:val="24"/>
        </w:rPr>
        <w:t>4）定期巡检保养要求：每个季度定期对监控系统进行一次维护保养，对所有本次新建监控设备进行外观检查、除尘擦拭、功能测试、线路检查、除灰、螺丝紧固，对服务器运行状态、数据备份功能检查，确保系统运行正常；做好巡检保养记录。</w:t>
      </w:r>
    </w:p>
    <w:p>
      <w:pPr>
        <w:pStyle w:val="16"/>
        <w:spacing w:line="360" w:lineRule="auto"/>
        <w:ind w:firstLine="480"/>
        <w:rPr>
          <w:rFonts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其他要求：</w:t>
      </w:r>
    </w:p>
    <w:p>
      <w:pPr>
        <w:pStyle w:val="16"/>
        <w:spacing w:line="360" w:lineRule="auto"/>
        <w:ind w:firstLine="618" w:firstLineChars="300"/>
        <w:rPr>
          <w:rFonts w:ascii="宋体" w:hAnsi="宋体" w:cs="宋体"/>
          <w:sz w:val="24"/>
        </w:rPr>
      </w:pPr>
      <w:r>
        <w:rPr>
          <w:rFonts w:hint="eastAsia" w:ascii="PingFang SC" w:hAnsi="PingFang SC" w:eastAsia="PingFang SC"/>
          <w:color w:val="000000" w:themeColor="text1"/>
          <w:spacing w:val="-2"/>
          <w14:textFill>
            <w14:solidFill>
              <w14:schemeClr w14:val="tx1"/>
            </w14:solidFill>
          </w14:textFill>
        </w:rPr>
        <w:t>★</w:t>
      </w:r>
      <w:r>
        <w:rPr>
          <w:rFonts w:hint="eastAsia" w:ascii="宋体" w:hAnsi="宋体" w:cs="宋体"/>
          <w:sz w:val="24"/>
        </w:rPr>
        <w:t>1）本项目购买设备数量、规格等根据采购人现场情况将所有设备安装到位，并提供本项目设备安装调试所需的所有辅材（包含但不限于各种规格型号的PVC线管、管卡、直接、弯头、六类网线、电源线、音频线等内容），此部分内容涉及的所有费用均包含在本项目报价中，不单独列项。</w:t>
      </w:r>
    </w:p>
    <w:p>
      <w:pPr>
        <w:pStyle w:val="16"/>
        <w:spacing w:line="360" w:lineRule="auto"/>
        <w:ind w:firstLine="618" w:firstLineChars="300"/>
        <w:rPr>
          <w:rFonts w:ascii="宋体" w:hAnsi="宋体" w:cs="宋体"/>
          <w:sz w:val="24"/>
        </w:rPr>
      </w:pPr>
      <w:r>
        <w:rPr>
          <w:rFonts w:hint="eastAsia" w:ascii="PingFang SC" w:hAnsi="PingFang SC" w:eastAsia="PingFang SC"/>
          <w:color w:val="000000" w:themeColor="text1"/>
          <w:spacing w:val="-2"/>
          <w14:textFill>
            <w14:solidFill>
              <w14:schemeClr w14:val="tx1"/>
            </w14:solidFill>
          </w14:textFill>
        </w:rPr>
        <w:t>★</w:t>
      </w:r>
      <w:r>
        <w:rPr>
          <w:rFonts w:hint="eastAsia" w:ascii="宋体" w:hAnsi="宋体" w:cs="宋体"/>
          <w:sz w:val="24"/>
        </w:rPr>
        <w:t>2）为避免重复建设，本次采购的摄像机、存储等需与学校现有设备实现统一管理，采购人有权要求中标人在合同签订后与采购人共同对所投产品相关功能进行验证，测试与投标文件响应情况不符视为虚假响应，采购人有权终止或解除合同，中标人承担一切损失及风险。</w:t>
      </w:r>
    </w:p>
    <w:p>
      <w:pPr>
        <w:pStyle w:val="16"/>
        <w:spacing w:line="360" w:lineRule="auto"/>
        <w:ind w:firstLine="618" w:firstLineChars="300"/>
        <w:rPr>
          <w:rFonts w:ascii="宋体" w:hAnsi="宋体" w:cs="宋体"/>
          <w:sz w:val="24"/>
        </w:rPr>
      </w:pPr>
      <w:r>
        <w:rPr>
          <w:rFonts w:hint="eastAsia" w:ascii="PingFang SC" w:hAnsi="PingFang SC" w:eastAsia="PingFang SC"/>
          <w:color w:val="000000" w:themeColor="text1"/>
          <w:spacing w:val="-2"/>
          <w14:textFill>
            <w14:solidFill>
              <w14:schemeClr w14:val="tx1"/>
            </w14:solidFill>
          </w14:textFill>
        </w:rPr>
        <w:t>★</w:t>
      </w:r>
      <w:r>
        <w:rPr>
          <w:rFonts w:hint="eastAsia" w:ascii="宋体" w:hAnsi="宋体" w:cs="宋体"/>
          <w:sz w:val="24"/>
        </w:rPr>
        <w:t>3）为避免重复建设并充分发挥数据价值，本次采购的数据分析等应用需与学校现有业务平台实现对接，实现督导线上听课与AI巡课相结合模式，采购人有权要求中标人在合同签订后与采购人共同对所投产品相关功能进行验证，测试与投标文件响应情况不符视为虚假响应，采购人有权终止或解除合同，中标人承担一切损失及风险。</w:t>
      </w:r>
    </w:p>
    <w:p>
      <w:pPr>
        <w:pStyle w:val="16"/>
        <w:spacing w:line="360" w:lineRule="auto"/>
        <w:ind w:firstLine="480"/>
        <w:rPr>
          <w:rFonts w:ascii="宋体" w:hAnsi="宋体" w:cs="宋体"/>
          <w:sz w:val="24"/>
        </w:rPr>
      </w:pPr>
      <w:r>
        <w:rPr>
          <w:rFonts w:hint="eastAsia" w:ascii="宋体" w:hAnsi="宋体" w:cs="宋体"/>
          <w:sz w:val="24"/>
        </w:rPr>
        <w:t>以上加注“★”为系统实质性要求，供应商提供承诺函，否则为无效投标。</w:t>
      </w:r>
    </w:p>
    <w:p>
      <w:pPr>
        <w:pStyle w:val="16"/>
        <w:spacing w:line="360" w:lineRule="auto"/>
        <w:ind w:left="480" w:firstLine="720" w:firstLineChars="300"/>
        <w:rPr>
          <w:sz w:val="24"/>
        </w:rPr>
      </w:pPr>
      <w:r>
        <w:rPr>
          <w:sz w:val="24"/>
        </w:rPr>
        <w:br w:type="page"/>
      </w:r>
    </w:p>
    <w:p>
      <w:pPr>
        <w:spacing w:line="360" w:lineRule="auto"/>
        <w:ind w:left="420"/>
        <w:rPr>
          <w:sz w:val="24"/>
        </w:rPr>
      </w:pPr>
      <w:r>
        <w:rPr>
          <w:rFonts w:hint="eastAsia"/>
          <w:sz w:val="24"/>
        </w:rPr>
        <w:t>具体内容如下：</w:t>
      </w:r>
    </w:p>
    <w:tbl>
      <w:tblPr>
        <w:tblStyle w:val="11"/>
        <w:tblW w:w="5000" w:type="pct"/>
        <w:tblInd w:w="0" w:type="dxa"/>
        <w:tblLayout w:type="fixed"/>
        <w:tblCellMar>
          <w:top w:w="0" w:type="dxa"/>
          <w:left w:w="108" w:type="dxa"/>
          <w:bottom w:w="0" w:type="dxa"/>
          <w:right w:w="108" w:type="dxa"/>
        </w:tblCellMar>
      </w:tblPr>
      <w:tblGrid>
        <w:gridCol w:w="401"/>
        <w:gridCol w:w="708"/>
        <w:gridCol w:w="6548"/>
        <w:gridCol w:w="422"/>
        <w:gridCol w:w="443"/>
      </w:tblGrid>
      <w:tr>
        <w:tblPrEx>
          <w:tblCellMar>
            <w:top w:w="0" w:type="dxa"/>
            <w:left w:w="108" w:type="dxa"/>
            <w:bottom w:w="0" w:type="dxa"/>
            <w:right w:w="108" w:type="dxa"/>
          </w:tblCellMar>
        </w:tblPrEx>
        <w:trPr>
          <w:trHeight w:val="270" w:hRule="atLeast"/>
        </w:trPr>
        <w:tc>
          <w:tcPr>
            <w:tcW w:w="23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序号</w:t>
            </w:r>
          </w:p>
        </w:tc>
        <w:tc>
          <w:tcPr>
            <w:tcW w:w="415"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品目名称</w:t>
            </w:r>
          </w:p>
        </w:tc>
        <w:tc>
          <w:tcPr>
            <w:tcW w:w="3840"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rPr>
              <w:t>技术参数和规格型号</w:t>
            </w:r>
          </w:p>
        </w:tc>
        <w:tc>
          <w:tcPr>
            <w:tcW w:w="24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单位</w:t>
            </w:r>
          </w:p>
        </w:tc>
        <w:tc>
          <w:tcPr>
            <w:tcW w:w="260"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数量</w:t>
            </w:r>
          </w:p>
        </w:tc>
      </w:tr>
      <w:tr>
        <w:tblPrEx>
          <w:tblCellMar>
            <w:top w:w="0" w:type="dxa"/>
            <w:left w:w="108" w:type="dxa"/>
            <w:bottom w:w="0" w:type="dxa"/>
            <w:right w:w="108" w:type="dxa"/>
          </w:tblCellMar>
        </w:tblPrEx>
        <w:trPr>
          <w:trHeight w:val="841" w:hRule="atLeast"/>
        </w:trPr>
        <w:tc>
          <w:tcPr>
            <w:tcW w:w="235"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w:t>
            </w:r>
          </w:p>
        </w:tc>
        <w:tc>
          <w:tcPr>
            <w:tcW w:w="415" w:type="pct"/>
            <w:tcBorders>
              <w:top w:val="nil"/>
              <w:left w:val="nil"/>
              <w:bottom w:val="single" w:color="auto" w:sz="4" w:space="0"/>
              <w:right w:val="single" w:color="auto" w:sz="4" w:space="0"/>
            </w:tcBorders>
            <w:vAlign w:val="center"/>
          </w:tcPr>
          <w:p>
            <w:pPr>
              <w:widowControl/>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督导巡课设备</w:t>
            </w:r>
          </w:p>
          <w:p>
            <w:pPr>
              <w:pStyle w:val="2"/>
              <w:ind w:left="1260"/>
            </w:pPr>
          </w:p>
          <w:p>
            <w:pPr>
              <w:pStyle w:val="2"/>
              <w:ind w:left="1260"/>
            </w:pPr>
          </w:p>
        </w:tc>
        <w:tc>
          <w:tcPr>
            <w:tcW w:w="3840" w:type="pct"/>
            <w:tcBorders>
              <w:top w:val="nil"/>
              <w:left w:val="nil"/>
              <w:bottom w:val="single" w:color="auto" w:sz="4" w:space="0"/>
              <w:right w:val="single" w:color="auto" w:sz="4" w:space="0"/>
            </w:tcBorders>
            <w:vAlign w:val="center"/>
          </w:tcPr>
          <w:p>
            <w:pPr>
              <w:widowControl/>
              <w:numPr>
                <w:ilvl w:val="0"/>
                <w:numId w:val="2"/>
              </w:numPr>
              <w:spacing w:line="480" w:lineRule="auto"/>
              <w:rPr>
                <w:b/>
                <w:sz w:val="24"/>
                <w:szCs w:val="24"/>
              </w:rPr>
            </w:pPr>
            <w:r>
              <w:rPr>
                <w:rFonts w:hint="eastAsia"/>
                <w:b/>
                <w:sz w:val="24"/>
                <w:szCs w:val="24"/>
              </w:rPr>
              <w:t>教室摄像头及存储升级改造</w:t>
            </w:r>
          </w:p>
          <w:p>
            <w:pPr>
              <w:widowControl/>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1.教室前高清球机</w:t>
            </w:r>
          </w:p>
          <w:p>
            <w:pPr>
              <w:pStyle w:val="2"/>
              <w:ind w:left="0" w:leftChars="0"/>
            </w:pPr>
            <w:r>
              <w:rPr>
                <w:rFonts w:hint="eastAsia"/>
              </w:rPr>
              <w:t>共包含21个高清球机，具体参数如下：</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（1）不低于400万23倍光学变倍</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（2）采用高效补光阵列，红外补光不低于100m</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（3）支持区域入侵侦测、越界侦测等智能侦测功能</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（4）支持双mic拾音功能  </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（5）内置加热玻璃，有效除雾</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（6）支持1进1出音频接口、最大支持512G microSD卡存储</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（7）宽动态：支持宽动态 </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（8）补光灯类型：红外补光</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（9）旋转角度：水平范围：360°，垂直范围不低于-15°-90°(自动翻转)</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（10）主码流帧率分辨率：不低于25 fps（2560 × 1440，1920 × 1080，1280 × 960，1280 × 720）</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（11）视频压缩标准：H.265;H.264;MJPEG  </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（12）SD卡扩展：支持MicroSD/MicroSDHC/MicroSDXC卡</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（13）音频：1路音频输入，音频峰值：2-2.4 V[p-p]，输入阻抗：1 kΩ±10%，1路音频输出，线性电平，阻抗:600 Ω </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（14）供电方式：DC12V;PoE+(802.3at)</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（15）电流及功耗：最大功耗：18 W(其中除雾加热1.6 W，补光灯9 W）</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（16）工作温湿度：不低于-30℃-65℃； </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（17）防护：IP67</w:t>
            </w:r>
          </w:p>
          <w:p>
            <w:pPr>
              <w:widowControl/>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14:textFill>
                  <w14:solidFill>
                    <w14:schemeClr w14:val="tx1"/>
                  </w14:solidFill>
                </w14:textFill>
              </w:rPr>
              <w:t>2.</w:t>
            </w:r>
            <w:r>
              <w:rPr>
                <w:rFonts w:hint="eastAsia" w:ascii="宋体" w:hAnsi="宋体" w:cs="宋体"/>
                <w:b/>
                <w:bCs/>
                <w:color w:val="000000" w:themeColor="text1"/>
                <w:kern w:val="0"/>
                <w14:textFill>
                  <w14:solidFill>
                    <w14:schemeClr w14:val="tx1"/>
                  </w14:solidFill>
                </w14:textFill>
              </w:rPr>
              <w:t>教室后全景广角摄像机</w:t>
            </w:r>
          </w:p>
          <w:p>
            <w:pPr>
              <w:pStyle w:val="2"/>
              <w:ind w:left="0" w:leftChars="0"/>
            </w:pPr>
            <w:r>
              <w:rPr>
                <w:rFonts w:hint="eastAsia" w:ascii="宋体" w:hAnsi="宋体" w:cs="宋体"/>
                <w:color w:val="000000" w:themeColor="text1"/>
                <w:kern w:val="0"/>
                <w14:textFill>
                  <w14:solidFill>
                    <w14:schemeClr w14:val="tx1"/>
                  </w14:solidFill>
                </w14:textFill>
              </w:rPr>
              <w:t>共包含21台全景广角摄像机，具体参数如下：</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（1）不低于400万像素海螺型广角网络摄像机</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（2）分辨率不低于2688 × 1520 @25 fps，在该分辨率下可输出实时图像支持红外补光，可识别</w:t>
            </w:r>
            <w:r>
              <w:rPr>
                <w:rFonts w:hint="eastAsia"/>
              </w:rPr>
              <w:t>距离设备至少10m处的</w:t>
            </w:r>
            <w:r>
              <w:rPr>
                <w:rFonts w:hint="eastAsia" w:ascii="宋体" w:hAnsi="宋体" w:cs="宋体"/>
                <w:color w:val="000000" w:themeColor="text1"/>
                <w14:textFill>
                  <w14:solidFill>
                    <w14:schemeClr w14:val="tx1"/>
                  </w14:solidFill>
                </w14:textFill>
              </w:rPr>
              <w:t>人体轮廓。</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14:textFill>
                  <w14:solidFill>
                    <w14:schemeClr w14:val="tx1"/>
                  </w14:solidFill>
                </w14:textFill>
              </w:rPr>
              <w:t>（3）支持不低于180°水平视场角，95°垂直视场角。（提供经 CMA 认证的第三方检测检验机构出具的检测报告扫描件）</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（4）摄像机支持在不低于-10~40摄氏度，湿度小于93%环境下稳定工作。</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（5）摄像机支持在DC（12±25%）V范围内正常工作，支持POE供电。</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（6）摄像机输出图像的中心水平分辨力不小于1400TVL。</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（7）摄像机照度适应范围不小于120dB。</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（8）支持同时输出主码流和子码流，主码流不低于2560x1440@25fps</w:t>
            </w:r>
          </w:p>
          <w:p>
            <w:pPr>
              <w:pStyle w:val="2"/>
              <w:ind w:left="0" w:leftChars="0"/>
              <w:rPr>
                <w:rFonts w:ascii="宋体" w:hAnsi="宋体" w:cs="宋体"/>
                <w:b/>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（9）同一静止场景相同图像质量下，设备在H.264、H.265编码方式时，开启智能编码功能和不开启智能编码相比，码率节不低于80%。</w:t>
            </w:r>
          </w:p>
          <w:p>
            <w:pPr>
              <w:widowControl/>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14:textFill>
                  <w14:solidFill>
                    <w14:schemeClr w14:val="tx1"/>
                  </w14:solidFill>
                </w14:textFill>
              </w:rPr>
              <w:t>3.</w:t>
            </w:r>
            <w:r>
              <w:rPr>
                <w:rFonts w:hint="eastAsia" w:ascii="宋体" w:hAnsi="宋体" w:cs="宋体"/>
                <w:b/>
                <w:bCs/>
                <w:color w:val="000000" w:themeColor="text1"/>
                <w:kern w:val="0"/>
                <w14:textFill>
                  <w14:solidFill>
                    <w14:schemeClr w14:val="tx1"/>
                  </w14:solidFill>
                </w14:textFill>
              </w:rPr>
              <w:t>教室拾音器</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包含40个拾音器，具体参数如下：</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（1）支持吸顶安装、桌面安装和壁装</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（2）内置输出级驱动电路，支持直接驱动耳机</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（3）配置拾音距离调节旋钮，</w:t>
            </w:r>
            <w:r>
              <w:rPr>
                <w:rFonts w:hint="eastAsia"/>
              </w:rPr>
              <w:t>支持</w:t>
            </w:r>
            <w:r>
              <w:rPr>
                <w:rFonts w:hint="eastAsia" w:ascii="宋体" w:hAnsi="宋体" w:cs="宋体"/>
                <w:color w:val="000000" w:themeColor="text1"/>
                <w14:textFill>
                  <w14:solidFill>
                    <w14:schemeClr w14:val="tx1"/>
                  </w14:solidFill>
                </w14:textFill>
              </w:rPr>
              <w:t>根据现场需要调节音量</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（4）拾音头内置雷击保护、电源极性反转保护和电源保护模块</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（5）降噪调节：支持数字降噪，自适应调节（和主机搭配使用时支持）</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（6）音量调节：支持软件调节（与主拾音器级联时可用）</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（7）指向特性：全指向</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（8）动态范围：0 dB~90 dB</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（9）最大承受音压不低于120 dBSPL</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（10）拾音范围：不低于5米</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（11）保护电路：至少支持雷击保护、电源极性反转保护、静电防护</w:t>
            </w:r>
          </w:p>
          <w:p>
            <w:pPr>
              <w:pStyle w:val="2"/>
              <w:ind w:left="0" w:leftChars="0"/>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4.球机支架</w:t>
            </w:r>
          </w:p>
          <w:p>
            <w:pPr>
              <w:pStyle w:val="2"/>
              <w:ind w:left="0" w:left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球机配套支架21个。</w:t>
            </w:r>
          </w:p>
          <w:p>
            <w:pPr>
              <w:rPr>
                <w:b/>
                <w:bCs/>
              </w:rPr>
            </w:pPr>
            <w:r>
              <w:rPr>
                <w:rFonts w:hint="eastAsia"/>
                <w:b/>
                <w:bCs/>
              </w:rPr>
              <w:t>5.</w:t>
            </w:r>
            <w:r>
              <w:rPr>
                <w:rFonts w:hint="eastAsia" w:ascii="宋体" w:hAnsi="宋体" w:cs="宋体"/>
                <w:b/>
                <w:bCs/>
                <w:color w:val="000000" w:themeColor="text1"/>
                <w:kern w:val="0"/>
                <w14:textFill>
                  <w14:solidFill>
                    <w14:schemeClr w14:val="tx1"/>
                  </w14:solidFill>
                </w14:textFill>
              </w:rPr>
              <w:t>云存储扩容服务器</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设备配置：≥1颗64位多核处理器，≥16GB内存，内存支持扩展到≥256GB，外置SSD固态硬盘（可以扩展到4个SSD作为缓存盘），配置≥4个风扇，风扇支持热插拔并可冗余温控调速；支持热插拔1+1AC220V电源或1+1直流冗余电源供电</w:t>
            </w:r>
          </w:p>
          <w:p>
            <w:pPr>
              <w:pStyle w:val="4"/>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（2）设备标配：≥8个千兆网口，支持</w:t>
            </w:r>
            <w:r>
              <w:rPr>
                <w:rFonts w:hint="eastAsia"/>
              </w:rPr>
              <w:t>不少</w:t>
            </w:r>
            <w:r>
              <w:rPr>
                <w:rFonts w:hint="eastAsia" w:ascii="宋体" w:hAnsi="宋体" w:cs="宋体"/>
                <w:color w:val="000000" w:themeColor="text1"/>
                <w14:textFill>
                  <w14:solidFill>
                    <w14:schemeClr w14:val="tx1"/>
                  </w14:solidFill>
                </w14:textFill>
              </w:rPr>
              <w:t>于2个前置 USB2.0接口、2个后置USB3.0接口，支持</w:t>
            </w:r>
            <w:r>
              <w:rPr>
                <w:rFonts w:hint="eastAsia"/>
              </w:rPr>
              <w:t>不少于</w:t>
            </w:r>
            <w:r>
              <w:rPr>
                <w:rFonts w:hint="eastAsia" w:ascii="宋体" w:hAnsi="宋体" w:cs="宋体"/>
                <w:color w:val="000000" w:themeColor="text1"/>
                <w14:textFill>
                  <w14:solidFill>
                    <w14:schemeClr w14:val="tx1"/>
                  </w14:solidFill>
                </w14:textFill>
              </w:rPr>
              <w:t>1个前置VGA接口、1个后置HDMI接口，支持</w:t>
            </w:r>
            <w:r>
              <w:rPr>
                <w:rFonts w:hint="eastAsia"/>
              </w:rPr>
              <w:t>不少于</w:t>
            </w:r>
            <w:r>
              <w:rPr>
                <w:rFonts w:hint="eastAsia" w:ascii="宋体" w:hAnsi="宋体" w:cs="宋体"/>
                <w:color w:val="000000" w:themeColor="text1"/>
                <w14:textFill>
                  <w14:solidFill>
                    <w14:schemeClr w14:val="tx1"/>
                  </w14:solidFill>
                </w14:textFill>
              </w:rPr>
              <w:t>1个RS-232串口，支持</w:t>
            </w:r>
            <w:r>
              <w:rPr>
                <w:rFonts w:hint="eastAsia"/>
              </w:rPr>
              <w:t>不低于</w:t>
            </w:r>
            <w:r>
              <w:rPr>
                <w:rFonts w:hint="eastAsia" w:ascii="宋体" w:hAnsi="宋体" w:cs="宋体"/>
                <w:color w:val="000000" w:themeColor="text1"/>
                <w14:textFill>
                  <w14:solidFill>
                    <w14:schemeClr w14:val="tx1"/>
                  </w14:solidFill>
                </w14:textFill>
              </w:rPr>
              <w:t>4个PCI-E3.0</w:t>
            </w:r>
          </w:p>
          <w:p>
            <w:pPr>
              <w:pStyle w:val="4"/>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（3）具有</w:t>
            </w:r>
            <w:r>
              <w:rPr>
                <w:rFonts w:hint="eastAsia"/>
              </w:rPr>
              <w:t>≥</w:t>
            </w:r>
            <w:r>
              <w:rPr>
                <w:rFonts w:hint="eastAsia" w:ascii="宋体" w:hAnsi="宋体" w:cs="宋体"/>
                <w:color w:val="000000" w:themeColor="text1"/>
                <w14:textFill>
                  <w14:solidFill>
                    <w14:schemeClr w14:val="tx1"/>
                  </w14:solidFill>
                </w14:textFill>
              </w:rPr>
              <w:t>24个硬盘热插拔插槽；支持硬盘热插拔设备在读写数据时，热插拔设备内的任意块硬盘，设备正常运行，本次配置不低于18块12TB企业级硬盘。</w:t>
            </w:r>
          </w:p>
          <w:p>
            <w:pPr>
              <w:pStyle w:val="4"/>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14:textFill>
                  <w14:solidFill>
                    <w14:schemeClr w14:val="tx1"/>
                  </w14:solidFill>
                </w14:textFill>
              </w:rPr>
              <w:t>（4）设备具备</w:t>
            </w:r>
            <w:r>
              <w:rPr>
                <w:rFonts w:hint="eastAsia"/>
              </w:rPr>
              <w:t>不少于</w:t>
            </w:r>
            <w:r>
              <w:rPr>
                <w:rFonts w:hint="eastAsia" w:ascii="宋体" w:hAnsi="宋体" w:cs="宋体"/>
                <w:color w:val="000000" w:themeColor="text1"/>
                <w14:textFill>
                  <w14:solidFill>
                    <w14:schemeClr w14:val="tx1"/>
                  </w14:solidFill>
                </w14:textFill>
              </w:rPr>
              <w:t>1个定位灯、1个电源灯、1个设备报警灯、1个就绪灯、1个网络状态灯、1个系统盘状态灯、1个硬盘状态灯，机箱具备防尘滤网，采用双立柱防震设计。设备左右侧面各</w:t>
            </w:r>
            <w:r>
              <w:rPr>
                <w:rFonts w:hint="eastAsia"/>
              </w:rPr>
              <w:t>不少于</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2个抬手，具备前面板抽拉标签卡。（提供经 CMA 认证的第三方检测检验机构出具的检测报告扫描件）</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（5）每个控制单元支持双系统应用，外置系统盘支持RAID1模式，系统盘支持热插拔，当主系统出现故障时，备用系统可接管工作；支持系统盘为独立的2块HDD（SATA、SAS）或SSD盘，组成RAID1</w:t>
            </w:r>
          </w:p>
          <w:p>
            <w:pPr>
              <w:pStyle w:val="4"/>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r>
              <w:rPr>
                <w:rFonts w:hint="eastAsia"/>
              </w:rPr>
              <w:t>至少支持</w:t>
            </w:r>
            <w:r>
              <w:rPr>
                <w:rFonts w:hint="eastAsia" w:ascii="宋体" w:hAnsi="宋体" w:cs="宋体"/>
                <w:color w:val="000000" w:themeColor="text1"/>
                <w14:textFill>
                  <w14:solidFill>
                    <w14:schemeClr w14:val="tx1"/>
                  </w14:solidFill>
                </w14:textFill>
              </w:rPr>
              <w:t>接入2T/3T/4T/6T/8T/10T/12T/14T/16T/18T/20T/25T/26T/30T SATA/SAS硬盘；支持NL-SAS 硬盘、HDD硬盘、SSD硬盘、氦气硬盘、空气硬盘；支持CMR或SMR硬盘；支持硬盘交错/分时启动</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（7）系统支持流直存模式进行录像、图片数据存储。支持实时视频流、抓拍图片不经过任何转发服务器/虚拟机，实现数据流直存。</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（8）支持所有的存储设备通过集群化服务能力对外提供存储空间，平台对接时，提供唯一的对接IP，集群升级或者扩容时，对外服务IP保持不变。</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（9）系统支持单机（1台）、HA（2台）、集群（3台及以上）部署模式。支持在线扩容、升级。且扩容、升级过程中实时读写业务不中断，扩容后历史数据无需迁移。</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系统支持以资源池的方式管理存储容量，以资源池列表方式展示系统已经创建好的资源池，支持新建和编辑资源池操作，创建资源池时可以给资源池命名，配置资源池的冗余级别，支持资源池数据容量，覆盖策略等信息的配置；支持对资源池进行编辑操作，修改冗余级别等相关属性。</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集群部署时，系统根据各个节点的负载压力，支持自动将业务相对均衡的分配到集群其他节点上。当集群中某个节点故障时，在集群可接入的录像计划的范围内，支持将故障节点上的录像计划调度到集群内其他正常节点上接管，从而不影响录像业务；当异常节点恢复后，支持业务重新自动均衡到所有在线的节点上。</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14:textFill>
                  <w14:solidFill>
                    <w14:schemeClr w14:val="tx1"/>
                  </w14:solidFill>
                </w14:textFill>
              </w:rPr>
              <w:t>（12）支持集中查看存储的容量信息，包括集群的容量信息和资源池的容量信息；支持查看集群中设备的在线和离线状态；支持查看存储卷的状态；对实时流和历史流业务进行集中监控。（提供经 CMA 认证的第三方检测检验机构出具的检测报告扫描件）</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支持全对称部署模式，集群所有节点服务角色对等，无需独立元数据服务器，且单集群可同时管理3EB存储空间、1024台存储节点；系统支持单机（1台）、HA（2台）、集群（3台及以上）部署模式。支持在线扩容、升级，且扩容、升级过程中实时读写业务不中断、数据不丢失，扩容后历史数据无需迁移；</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支持以资源池的方式，对数据的存储周期进行集中配置管理，通过设置资源池的容量覆盖，不覆盖和周期性覆盖三种不同策略，来灵活管理数据的保存时长；支持通过管理资源池的方式灵活批量调整数据覆盖策略。</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（15）系统支持Erasure Code数据保护机制，安全级别可在线动态修改，用户可以依据磁盘数量和节点数量调整相应的容错算法。支持数据冗余N+M模式下，当损坏节点数量超过M台（或数据块超过M）时，系统内的正常存储节点不少于1台时，业务仍可持续写入，且存留的视频数据仍可进行回放。</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（16）支持硬盘热插拔，设备在读写数据时，热插拔设备内的任意块硬盘，设备正常运行；节点离线、磁盘离线、节点过载、扩容存储节点时，</w:t>
            </w:r>
            <w:r>
              <w:rPr>
                <w:rFonts w:hint="eastAsia"/>
              </w:rPr>
              <w:t>支持</w:t>
            </w:r>
            <w:r>
              <w:rPr>
                <w:rFonts w:hint="eastAsia" w:ascii="宋体" w:hAnsi="宋体" w:cs="宋体"/>
                <w:color w:val="000000" w:themeColor="text1"/>
                <w14:textFill>
                  <w14:solidFill>
                    <w14:schemeClr w14:val="tx1"/>
                  </w14:solidFill>
                </w14:textFill>
              </w:rPr>
              <w:t>系统自动调整录像和图片存储业务，实现集群均衡负载。</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云系统支持虚拟化存储空间，存储容量可以按需分配，分配的存储空间支持在线扩大和缩小；系统支持资源池空间弹性伸缩时，不影响读写业务；存储容量支持平滑扩容；且动态扩容和缩容时业务不中断。（提供经 CMA 认证的第三方检测检验机构出具的检测报告扫描件）</w:t>
            </w:r>
          </w:p>
          <w:p>
            <w:pPr>
              <w:pStyle w:val="2"/>
              <w:ind w:left="0" w:leftChars="0"/>
              <w:rPr>
                <w:rFonts w:ascii="宋体" w:hAnsi="宋体" w:cs="宋体"/>
                <w:color w:val="000000" w:themeColor="text1"/>
                <w14:textFill>
                  <w14:solidFill>
                    <w14:schemeClr w14:val="tx1"/>
                  </w14:solidFill>
                </w14:textFill>
              </w:rPr>
            </w:pPr>
            <w:r>
              <w:rPr>
                <w:rFonts w:hint="eastAsia" w:ascii="宋体" w:hAnsi="宋体" w:eastAsia="PingFang SC" w:cs="宋体"/>
                <w:color w:val="000000" w:themeColor="text1"/>
                <w14:textFill>
                  <w14:solidFill>
                    <w14:schemeClr w14:val="tx1"/>
                  </w14:solidFill>
                </w14:textFill>
              </w:rPr>
              <w:t>（18）</w:t>
            </w:r>
            <w:r>
              <w:rPr>
                <w:rFonts w:hint="eastAsia"/>
              </w:rPr>
              <w:t>支持</w:t>
            </w:r>
            <w:r>
              <w:rPr>
                <w:rFonts w:hint="eastAsia" w:ascii="宋体" w:hAnsi="宋体" w:cs="宋体"/>
                <w:color w:val="000000" w:themeColor="text1"/>
                <w14:textFill>
                  <w14:solidFill>
                    <w14:schemeClr w14:val="tx1"/>
                  </w14:solidFill>
                </w14:textFill>
              </w:rPr>
              <w:t>接入学校现有综合安防管理平台，实现统一管理，在现有平台中进行录像统一下发。</w:t>
            </w:r>
          </w:p>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6.</w:t>
            </w:r>
            <w:r>
              <w:rPr>
                <w:rFonts w:hint="eastAsia" w:ascii="宋体" w:hAnsi="宋体" w:cs="宋体"/>
                <w:b/>
                <w:bCs/>
                <w:color w:val="000000" w:themeColor="text1"/>
                <w:kern w:val="0"/>
                <w14:textFill>
                  <w14:solidFill>
                    <w14:schemeClr w14:val="tx1"/>
                  </w14:solidFill>
                </w14:textFill>
              </w:rPr>
              <w:t>平台扩容</w:t>
            </w:r>
          </w:p>
          <w:p>
            <w:pPr>
              <w:widowControl/>
              <w:rPr>
                <w:rFonts w:ascii="宋体" w:hAnsi="宋体" w:cs="宋体"/>
                <w:color w:val="000000" w:themeColor="text1"/>
                <w14:textFill>
                  <w14:solidFill>
                    <w14:schemeClr w14:val="tx1"/>
                  </w14:solidFill>
                </w14:textFill>
              </w:rPr>
            </w:pPr>
            <w:r>
              <w:rPr>
                <w:rFonts w:hint="eastAsia" w:ascii="宋体" w:hAnsi="宋体" w:eastAsia="PingFang SC"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为保证系统稳定性与兼容性，本次不在新建平台，在学校现有平台基础上扩容至少50路监控授权，实现对学校现有监控、一键报警、门禁、车辆道闸、消防设备统一管理。</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◆（2）支持AD域（提供经 CMA 认证的第三方检测检验机构出具的检测报告扫描件）</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（3）支持风格自定义，可自定义视图风格</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（4）支持部署组件（服务）到服务器集群，并进行集群管理</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14:textFill>
                  <w14:solidFill>
                    <w14:schemeClr w14:val="tx1"/>
                  </w14:solidFill>
                </w14:textFill>
              </w:rPr>
              <w:t>（5）支持以中心管理服务为核心的网络拓扑结构，支持对系统中的分组、服务器、组件等统计概览、查看，支持多色彩展示运行告警状态，支持告警统计、概览、处理，支持告警记录查看、查询，支持告警单条、批量处理；支持系统最近7天每日告警数统计，支持评分量化系统监控指数，显示系统运行状态。（提供经 CMA 认证的第三方检测检验机构出具的检测报告扫描件）</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（6）支持普通视频监控画面、智能监控实时画面、门禁出入信息、出入口进出信息在一个客户端页面进行展示</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（7）支持对视频、门禁、停车场、访客等子系统进行报警配置并产生客户端联动、录像联动、云台联动、抓图联动、电视墙联动、IO输出联动、开门联动、短信联动、邮件联动等，并支持模板化联动配置</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（8）支持对用户、角色、组织、区域、人员、车辆、卡片、设备等基础资源进行统一管理调配</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（9）支持车辆检索：基于系统基础数据，根据车牌等查询车辆的车主、联系方式、车牌类型、车辆类型等信息</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（10）支持地图上资源点的搜索，实现在地图上资源的快速定位</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（11）支持门禁权限配置和下发；支持卡（含身份证）、人脸、指纹、卡密码等凭证单独或组合使用的认证方式</w:t>
            </w:r>
          </w:p>
          <w:p>
            <w:pPr>
              <w:pStyle w:val="2"/>
              <w:ind w:left="0" w:left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（12）支持访客二维码、身份证、IC卡、人脸等多种介质授权通行门禁、停车场；支持访客身份证人证合一验证。</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◆（13）支持统计服务器在线率及各服务器在线详情（提供经 CMA 认证的第三方检测检验机构出具的检测报告扫描件）</w:t>
            </w:r>
          </w:p>
          <w:p>
            <w:pPr>
              <w:widowControl/>
            </w:pPr>
            <w:r>
              <w:rPr>
                <w:rFonts w:hint="eastAsia" w:ascii="宋体" w:hAnsi="宋体" w:cs="宋体"/>
                <w:color w:val="000000" w:themeColor="text1"/>
                <w14:textFill>
                  <w14:solidFill>
                    <w14:schemeClr w14:val="tx1"/>
                  </w14:solidFill>
                </w14:textFill>
              </w:rPr>
              <w:t>◆（14）支持导航视图管理，对系统内各节点进行查看、增加、删除、修改，展示、查找；支持对系统内所有服务器进行监控，包括名称、IP地址、状态、未处理告警数、CPU使用率、内存使用率、磁盘容量等；支持对系统内所有组件信息进行监控，组件信息包含：组件名称、未处理告警数、所属服务器、最近操作时间、授权状态、维保期限、使用期限等（提供经 CMA 认证的第三方检测检验机构出具的检测报告扫描件）</w:t>
            </w:r>
          </w:p>
          <w:p>
            <w:pP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7.云存储硬盘</w:t>
            </w:r>
          </w:p>
          <w:p>
            <w:pPr>
              <w:pStyle w:val="4"/>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云存储专用硬盘24块，</w:t>
            </w:r>
            <w:r>
              <w:rPr>
                <w:rFonts w:hint="eastAsia"/>
              </w:rPr>
              <w:t>≥</w:t>
            </w:r>
            <w:r>
              <w:rPr>
                <w:rFonts w:hint="eastAsia" w:ascii="宋体" w:hAnsi="宋体" w:cs="宋体"/>
                <w:color w:val="000000" w:themeColor="text1"/>
                <w:kern w:val="0"/>
                <w14:textFill>
                  <w14:solidFill>
                    <w14:schemeClr w14:val="tx1"/>
                  </w14:solidFill>
                </w14:textFill>
              </w:rPr>
              <w:t xml:space="preserve">3.5英寸 </w:t>
            </w:r>
            <w:r>
              <w:rPr>
                <w:rFonts w:hint="eastAsia" w:ascii="宋体" w:hAnsi="宋体" w:cs="宋体"/>
                <w:color w:val="000000" w:themeColor="text1"/>
                <w14:textFill>
                  <w14:solidFill>
                    <w14:schemeClr w14:val="tx1"/>
                  </w14:solidFill>
                </w14:textFill>
              </w:rPr>
              <w:t>容量:</w:t>
            </w:r>
            <w:r>
              <w:rPr>
                <w:rFonts w:hint="eastAsia"/>
              </w:rPr>
              <w:t>≥</w:t>
            </w:r>
            <w:r>
              <w:rPr>
                <w:rFonts w:hint="eastAsia" w:ascii="宋体" w:hAnsi="宋体" w:cs="宋体"/>
                <w:color w:val="000000" w:themeColor="text1"/>
                <w14:textFill>
                  <w14:solidFill>
                    <w14:schemeClr w14:val="tx1"/>
                  </w14:solidFill>
                </w14:textFill>
              </w:rPr>
              <w:t>12TB；支持视频存储扩容</w:t>
            </w:r>
            <w:r>
              <w:rPr>
                <w:rFonts w:ascii="Arial" w:hAnsi="Arial" w:cs="Arial"/>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15天。</w:t>
            </w:r>
          </w:p>
          <w:p>
            <w:pPr>
              <w:pStyle w:val="2"/>
              <w:ind w:left="0" w:leftChars="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8.</w:t>
            </w:r>
            <w:r>
              <w:rPr>
                <w:rFonts w:hint="eastAsia" w:ascii="宋体" w:hAnsi="宋体" w:cs="宋体"/>
                <w:b/>
                <w:bCs/>
                <w:color w:val="000000" w:themeColor="text1"/>
                <w:kern w:val="0"/>
                <w14:textFill>
                  <w14:solidFill>
                    <w14:schemeClr w14:val="tx1"/>
                  </w14:solidFill>
                </w14:textFill>
              </w:rPr>
              <w:t>24口接入交换机</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共2台，具体参数如下：</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（1）性能：整机交换容量 ≥6.7Tbps；转发性能 ≥144 Mpps；</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（2）端口：≥24个千兆电，≥4个千兆SFP；</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14:textFill>
                  <w14:solidFill>
                    <w14:schemeClr w14:val="tx1"/>
                  </w14:solidFill>
                </w14:textFill>
              </w:rPr>
              <w:t>（3）支持PoE+，PoE供电≥375W（提供官网截图证明）</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（4）MAC地址表≥16K，IPv4路由表容量≥512，ARP≥1K；</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（5）支持IPv4/IPv6静态路由、支持RIP/RIPng、OSPFV2/V3，支持VLAN虚接口；</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（6）交换机支持最大堆叠台数为9台，可以将多台交换机连接，形成一个逻辑上的独立实体，构建具备高可靠性、易扩展性和易管理性的新型智能网络；</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（7）支持G.8032以太网环保护协议ERPS，切换时间≤50ms，可兼容其他支持该协议的产品；</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14:textFill>
                  <w14:solidFill>
                    <w14:schemeClr w14:val="tx1"/>
                  </w14:solidFill>
                </w14:textFill>
              </w:rPr>
              <w:t>（8）具有CPU保护功能，支持限制非法报文对CPU的攻击，保护交换机在各种环境下稳定工作；（提供官网截图证明）</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14:textFill>
                  <w14:solidFill>
                    <w14:schemeClr w14:val="tx1"/>
                  </w14:solidFill>
                </w14:textFill>
              </w:rPr>
              <w:t>（9）支持专业的内置防雷技术，支持≥10KV业务端口防雷能力，提供官网截图证明；</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（10）绿色节能，支持端口休眠，关闭没有应用的端口，节省能源；</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14:textFill>
                  <w14:solidFill>
                    <w14:schemeClr w14:val="tx1"/>
                  </w14:solidFill>
                </w14:textFill>
              </w:rPr>
              <w:t>（11）支持用户访问控制和安全审计功能。（提供经 CMA 认证的第三方检测检验机构出具的检测报告扫描件）</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（12）管理方式：设备内置及图形化操作的方式，实现对网络的统一运维及管理；（提供官网截图证明）</w:t>
            </w:r>
          </w:p>
          <w:p>
            <w:pPr>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（13）支持NQA、支持802.1ag、支持802.3ah，有效提高对以太网的管理和维护能力，保障网络的稳定运行；</w:t>
            </w:r>
          </w:p>
          <w:p>
            <w:pPr>
              <w:pStyle w:val="2"/>
              <w:ind w:left="0" w:leftChars="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9.</w:t>
            </w:r>
            <w:r>
              <w:rPr>
                <w:rFonts w:hint="eastAsia" w:ascii="宋体" w:hAnsi="宋体" w:cs="宋体"/>
                <w:b/>
                <w:bCs/>
                <w:color w:val="000000" w:themeColor="text1"/>
                <w:kern w:val="0"/>
                <w14:textFill>
                  <w14:solidFill>
                    <w14:schemeClr w14:val="tx1"/>
                  </w14:solidFill>
                </w14:textFill>
              </w:rPr>
              <w:t>千兆单模光模块</w:t>
            </w:r>
          </w:p>
          <w:p>
            <w:pPr>
              <w:pStyle w:val="2"/>
              <w:ind w:left="0" w:leftChars="0"/>
            </w:pPr>
            <w:r>
              <w:rPr>
                <w:rFonts w:hint="eastAsia" w:ascii="宋体" w:hAnsi="宋体" w:cs="宋体"/>
                <w:color w:val="000000" w:themeColor="text1"/>
                <w14:textFill>
                  <w14:solidFill>
                    <w14:schemeClr w14:val="tx1"/>
                  </w14:solidFill>
                </w14:textFill>
              </w:rPr>
              <w:t>共4块，光模块-SFP-GE-单模模块-(1310nm,10km,LC)，</w:t>
            </w:r>
            <w:r>
              <w:rPr>
                <w:rFonts w:hint="eastAsia"/>
              </w:rPr>
              <w:t>需要与所投交换机适配。</w:t>
            </w:r>
          </w:p>
          <w:p>
            <w:pPr>
              <w:pStyle w:val="2"/>
              <w:numPr>
                <w:ilvl w:val="0"/>
                <w:numId w:val="2"/>
              </w:numPr>
              <w:spacing w:line="480" w:lineRule="auto"/>
              <w:ind w:left="0" w:leftChars="0"/>
              <w:rPr>
                <w:rFonts w:ascii="宋体" w:hAnsi="宋体" w:cs="宋体"/>
                <w:b/>
                <w:bCs/>
                <w:color w:val="000000" w:themeColor="text1"/>
                <w:kern w:val="0"/>
                <w:sz w:val="24"/>
                <w:szCs w:val="32"/>
                <w14:textFill>
                  <w14:solidFill>
                    <w14:schemeClr w14:val="tx1"/>
                  </w14:solidFill>
                </w14:textFill>
              </w:rPr>
            </w:pPr>
            <w:r>
              <w:rPr>
                <w:rFonts w:hint="eastAsia" w:ascii="宋体" w:hAnsi="宋体" w:cs="宋体"/>
                <w:b/>
                <w:bCs/>
                <w:color w:val="000000" w:themeColor="text1"/>
                <w:kern w:val="0"/>
                <w:sz w:val="24"/>
                <w:szCs w:val="32"/>
                <w14:textFill>
                  <w14:solidFill>
                    <w14:schemeClr w14:val="tx1"/>
                  </w14:solidFill>
                </w14:textFill>
              </w:rPr>
              <w:t>视频转录及数据分析服务集群</w:t>
            </w:r>
          </w:p>
          <w:p>
            <w:pPr>
              <w:widowControl/>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共2台，具体参数如下：</w:t>
            </w:r>
          </w:p>
          <w:p>
            <w:pPr>
              <w:widowControl/>
              <w:rPr>
                <w:rFonts w:ascii="宋体" w:hAnsi="宋体" w:cs="宋体"/>
                <w:color w:val="000000" w:themeColor="text1"/>
                <w:kern w:val="0"/>
                <w14:textFill>
                  <w14:solidFill>
                    <w14:schemeClr w14:val="tx1"/>
                  </w14:solidFill>
                </w14:textFill>
              </w:rPr>
            </w:pPr>
            <w:r>
              <w:rPr>
                <w:rFonts w:ascii="宋体" w:hAnsi="宋体" w:cs="宋体"/>
                <w:b/>
                <w:bCs/>
                <w:color w:val="000000" w:themeColor="text1"/>
                <w:kern w:val="0"/>
                <w14:textFill>
                  <w14:solidFill>
                    <w14:schemeClr w14:val="tx1"/>
                  </w14:solidFill>
                </w14:textFill>
              </w:rPr>
              <w:t>1.</w:t>
            </w:r>
            <w:r>
              <w:rPr>
                <w:rFonts w:hint="eastAsia" w:ascii="宋体" w:hAnsi="宋体" w:cs="宋体"/>
                <w:b/>
                <w:bCs/>
                <w:color w:val="000000" w:themeColor="text1"/>
                <w:kern w:val="0"/>
                <w14:textFill>
                  <w14:solidFill>
                    <w14:schemeClr w14:val="tx1"/>
                  </w14:solidFill>
                </w14:textFill>
              </w:rPr>
              <w:t>CPU</w:t>
            </w:r>
            <w:r>
              <w:rPr>
                <w:rFonts w:hint="eastAsia" w:ascii="宋体" w:hAnsi="宋体" w:cs="宋体"/>
                <w:color w:val="000000" w:themeColor="text1"/>
                <w:kern w:val="0"/>
                <w14:textFill>
                  <w14:solidFill>
                    <w14:schemeClr w14:val="tx1"/>
                  </w14:solidFill>
                </w14:textFill>
              </w:rPr>
              <w:t>：CPU≥2颗，单颗主频≥2.4GHz，单颗CPU核数≥64核;</w:t>
            </w:r>
          </w:p>
          <w:p>
            <w:pPr>
              <w:widowControl/>
              <w:rPr>
                <w:rFonts w:ascii="宋体" w:hAnsi="宋体" w:cs="宋体"/>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2</w:t>
            </w:r>
            <w:r>
              <w:rPr>
                <w:rFonts w:ascii="宋体" w:hAnsi="宋体" w:cs="宋体"/>
                <w:b/>
                <w:bCs/>
                <w:color w:val="000000" w:themeColor="text1"/>
                <w:kern w:val="0"/>
                <w14:textFill>
                  <w14:solidFill>
                    <w14:schemeClr w14:val="tx1"/>
                  </w14:solidFill>
                </w14:textFill>
              </w:rPr>
              <w:t>.</w:t>
            </w:r>
            <w:r>
              <w:rPr>
                <w:rFonts w:hint="eastAsia" w:ascii="宋体" w:hAnsi="宋体" w:cs="宋体"/>
                <w:b/>
                <w:bCs/>
                <w:color w:val="000000" w:themeColor="text1"/>
                <w:kern w:val="0"/>
                <w14:textFill>
                  <w14:solidFill>
                    <w14:schemeClr w14:val="tx1"/>
                  </w14:solidFill>
                </w14:textFill>
              </w:rPr>
              <w:t>显卡：</w:t>
            </w:r>
            <w:r>
              <w:rPr>
                <w:rFonts w:hint="eastAsia" w:ascii="宋体" w:hAnsi="宋体" w:cs="宋体"/>
                <w:color w:val="000000" w:themeColor="text1"/>
                <w:kern w:val="0"/>
                <w14:textFill>
                  <w14:solidFill>
                    <w14:schemeClr w14:val="tx1"/>
                  </w14:solidFill>
                </w14:textFill>
              </w:rPr>
              <w:t>显存≥48G，数量≥4；</w:t>
            </w:r>
          </w:p>
          <w:p>
            <w:pPr>
              <w:widowControl/>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r>
              <w:rPr>
                <w:rFonts w:hint="eastAsia" w:ascii="宋体" w:hAnsi="宋体" w:cs="宋体"/>
                <w:b/>
                <w:bCs/>
                <w:color w:val="000000" w:themeColor="text1"/>
                <w:kern w:val="0"/>
                <w14:textFill>
                  <w14:solidFill>
                    <w14:schemeClr w14:val="tx1"/>
                  </w14:solidFill>
                </w14:textFill>
              </w:rPr>
              <w:t>.内存：</w:t>
            </w:r>
            <w:r>
              <w:rPr>
                <w:rFonts w:hint="eastAsia" w:ascii="宋体" w:hAnsi="宋体" w:cs="宋体"/>
                <w:color w:val="000000" w:themeColor="text1"/>
                <w:kern w:val="0"/>
                <w14:textFill>
                  <w14:solidFill>
                    <w14:schemeClr w14:val="tx1"/>
                  </w14:solidFill>
                </w14:textFill>
              </w:rPr>
              <w:t>DDR4≥256G、内存插槽数≥16个；可扩展至1TB；</w:t>
            </w:r>
          </w:p>
          <w:p>
            <w:pPr>
              <w:widowControl/>
              <w:rPr>
                <w:rFonts w:ascii="宋体" w:hAnsi="宋体" w:cs="宋体"/>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4.硬盘：</w:t>
            </w:r>
            <w:r>
              <w:rPr>
                <w:rFonts w:hint="eastAsia" w:ascii="宋体" w:hAnsi="宋体" w:cs="宋体"/>
                <w:color w:val="000000" w:themeColor="text1"/>
                <w:kern w:val="0"/>
                <w14:textFill>
                  <w14:solidFill>
                    <w14:schemeClr w14:val="tx1"/>
                  </w14:solidFill>
                </w14:textFill>
              </w:rPr>
              <w:t>SSD硬盘≥2TB*1块，3.5盘位≥8；</w:t>
            </w:r>
          </w:p>
          <w:p>
            <w:pPr>
              <w:widowControl/>
              <w:rPr>
                <w:rFonts w:ascii="宋体" w:hAnsi="宋体" w:cs="宋体"/>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5.网卡：</w:t>
            </w:r>
            <w:r>
              <w:rPr>
                <w:rFonts w:hint="eastAsia" w:ascii="宋体" w:hAnsi="宋体" w:cs="宋体"/>
                <w:color w:val="000000" w:themeColor="text1"/>
                <w:kern w:val="0"/>
                <w14:textFill>
                  <w14:solidFill>
                    <w14:schemeClr w14:val="tx1"/>
                  </w14:solidFill>
                </w14:textFill>
              </w:rPr>
              <w:t>万兆光口≥2个</w:t>
            </w:r>
          </w:p>
          <w:p>
            <w:pPr>
              <w:pStyle w:val="2"/>
              <w:ind w:left="0" w:leftChars="0"/>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6.视频督导及课堂教学分析：</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至少支持直播与录播两种视频督导方式，</w:t>
            </w:r>
            <w:r>
              <w:rPr>
                <w:rFonts w:hint="eastAsia"/>
              </w:rPr>
              <w:t>对课堂教学进行AI分析，至少包括课堂预警，自动触发课堂预警功能；授课内容分析，自动判断是否与授课计划一致，是否包含敏感词等；教情、学情分析，根据课堂静音分析、情绪分析、行文分析、出勤率分析、抬头率分析等判断教情学情；支持自动生成AI课堂教学分析报告，加强过程性教学质量结果分析。</w:t>
            </w:r>
          </w:p>
          <w:p>
            <w:pPr>
              <w:widowControl/>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1）支持与学校现有硬件设备对接，例如录播管理系统、智慧教室系统、标准化考场系统等，为对接的视频提供转码服务，用于系统的AI分析；</w:t>
            </w:r>
          </w:p>
          <w:p>
            <w:pPr>
              <w:pStyle w:val="2"/>
              <w:ind w:left="0" w:left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2）支持与学校督导业务系统对接，增加视频督导，至少支持直播与录播两种视频督导方式；</w:t>
            </w:r>
          </w:p>
          <w:p>
            <w:pPr>
              <w:widowControl/>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预警分析，预警分析至少包括学生预警、教师预警、以及政治倾向预警，其中学生预警包含到课率、抬头率、前排就座率预警，教师预警包含缺勤、迟到、早退预警，政治倾向预警包含教师不当言论预警，所有预警可通过系统推送给相关人员；</w:t>
            </w:r>
          </w:p>
          <w:p>
            <w:pPr>
              <w:widowControl/>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课堂教学分析，至少包括教学活动分析、教学内容分析、四率分析、以及课堂纪律分析，其中教学活动分析至少包含基于本节课堂教学内容分析各类教学活动占比情况，教学内容分析至少包含基于本节课教学内容分析包含知识点情况、AI知识图谱分析、比对教学大纲分析、语速分析、以及支持语音转文字导出等，四率分析至少包含出勤率、抬头率、静音率、以及前排就座率分析，课堂纪律分析至少包含教师守时分析、学生守时分析；</w:t>
            </w:r>
          </w:p>
          <w:p>
            <w:pPr>
              <w:widowControl/>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教师行为分析，至少包括政治倾向分析、情绪行为分析、以及教学内容分析，其中政治倾向分析至少包含教学内容是否有政治倾向，情绪行为分析至少包含结合上课时段的教师情绪分析、语速分析、以及本节课堂静音分析，教学内容分析至少包含教师口头禅、关键词、敏感词、授课提问类型分析、以及本节课堂各类教学内容次数汇总分析；</w:t>
            </w:r>
          </w:p>
          <w:p>
            <w:pPr>
              <w:widowControl/>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6）学生行为分析，至少包括三率分析、行为分析，其中三率分析至少包含学生到课率、前排就座率、以及抬头率，行为分析至少包含本节课堂按照时间切片分析学生行为以及专注度；</w:t>
            </w:r>
          </w:p>
          <w:p>
            <w:pPr>
              <w:widowControl/>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AI评价，至少包括客观评价、及主观评价，其中客观评价支持根据管理员设置的评价规则自动评分，例如根据课堂纪律管理、教学目标及内容、教学环节等要求进行评分并给评分结果及理由；主观评价支持针对该课堂进行总结并给出改进建议；</w:t>
            </w:r>
          </w:p>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8）支持将AI评价结果推送给相关人员，将评价结果低于阀值的人员自动纳入重点听课人群，督导人员可通过系统进行重点听课。</w:t>
            </w:r>
          </w:p>
          <w:p>
            <w:pPr>
              <w:widowControl/>
              <w:rPr>
                <w:rFonts w:ascii="宋体" w:hAnsi="宋体" w:cs="宋体"/>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7.AI数据分析：</w:t>
            </w:r>
          </w:p>
          <w:p>
            <w:pPr>
              <w:widowControl/>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支持根据学校要求定制设计个性化统计分析报表，基于AI服务通过自然语言交互，自动生成定制化统计报表，支持分享给用户查看，满足用户个性化数据统计要求，提高数据利用率，基于AI数据分析结果，支持根据用户个性化需求，通过自然语言交互，自动生成数据展示样式代码，分享至移动端查看，自动分配查看权限，校级管理员查看全校数据、院系管理员查看本院系数据、教师个人查看本人数据。</w:t>
            </w:r>
          </w:p>
          <w:p>
            <w:pPr>
              <w:widowControl/>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1）支持通过自然语言与数据平台交互，系统自动根据对话要求生成AI统计结果，支持在生成的AI统计结果基础上继续提问要求进一步生成统计结果，例如统计方法、字段要求等；</w:t>
            </w:r>
          </w:p>
          <w:p>
            <w:pPr>
              <w:widowControl/>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2）支持显示系统自动计算的逻辑与方法，供用户判断是否正确；</w:t>
            </w:r>
          </w:p>
          <w:p>
            <w:pPr>
              <w:widowControl/>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）支持统计结果溯源，即AI统计结果来自于哪些原始数据，用于验证数据结果的准确性；</w:t>
            </w:r>
          </w:p>
          <w:p>
            <w:pPr>
              <w:widowControl/>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）支持通过自然语言与数据平台交互，系统自动根据对话要求生成AI前端代码，支持在生成的AI前端布局基础上继续提问要求进一步生成前端代码，例如布局、字体、颜色、图标等；</w:t>
            </w:r>
          </w:p>
          <w:p>
            <w:pPr>
              <w:widowControl/>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）支持显示系统自动生成的前端代码，供用户参考；</w:t>
            </w:r>
          </w:p>
          <w:p>
            <w:pPr>
              <w:widowControl/>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14:textFill>
                  <w14:solidFill>
                    <w14:schemeClr w14:val="tx1"/>
                  </w14:solidFill>
                </w14:textFill>
              </w:rPr>
              <w:t>）支持预览功能，查看数据展示效果；</w:t>
            </w:r>
          </w:p>
          <w:p>
            <w:pPr>
              <w:widowControl/>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7</w:t>
            </w:r>
            <w:r>
              <w:rPr>
                <w:rFonts w:hint="eastAsia" w:ascii="宋体" w:hAnsi="宋体" w:cs="宋体"/>
                <w:color w:val="000000" w:themeColor="text1"/>
                <w:kern w:val="0"/>
                <w14:textFill>
                  <w14:solidFill>
                    <w14:schemeClr w14:val="tx1"/>
                  </w14:solidFill>
                </w14:textFill>
              </w:rPr>
              <w:t>）支持将结果分享至移动端查看，校级管理员可查看全校数据，院系管理员可查看本院系数据，教师个人可查看本人数据；</w:t>
            </w:r>
          </w:p>
          <w:p>
            <w:pPr>
              <w:widowControl/>
            </w:pPr>
            <w:r>
              <w:rPr>
                <w:rFonts w:ascii="宋体" w:hAnsi="宋体" w:cs="宋体"/>
                <w:color w:val="000000" w:themeColor="text1"/>
                <w:kern w:val="0"/>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）移动端数据展示样式与AI生成样式一致。</w:t>
            </w:r>
          </w:p>
        </w:tc>
        <w:tc>
          <w:tcPr>
            <w:tcW w:w="248" w:type="pct"/>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套</w:t>
            </w:r>
          </w:p>
        </w:tc>
        <w:tc>
          <w:tcPr>
            <w:tcW w:w="260" w:type="pct"/>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r>
    </w:tbl>
    <w:p/>
    <w:p>
      <w:pPr>
        <w:pStyle w:val="2"/>
        <w:ind w:left="0" w:leftChars="0"/>
      </w:pPr>
    </w:p>
    <w:p>
      <w:pPr>
        <w:rPr>
          <w:rFonts w:ascii="宋体" w:hAnsi="宋体" w:cs="Arial"/>
          <w:sz w:val="28"/>
          <w:szCs w:val="28"/>
        </w:rPr>
      </w:pPr>
      <w:r>
        <w:rPr>
          <w:rFonts w:hint="eastAsia" w:ascii="宋体" w:hAnsi="宋体" w:cs="Arial"/>
          <w:sz w:val="28"/>
          <w:szCs w:val="28"/>
        </w:rPr>
        <w:br w:type="page"/>
      </w:r>
    </w:p>
    <w:p>
      <w:pPr>
        <w:pStyle w:val="3"/>
        <w:spacing w:before="0" w:after="0" w:line="360" w:lineRule="auto"/>
        <w:rPr>
          <w:rFonts w:ascii="宋体" w:hAnsi="宋体" w:cs="Arial"/>
          <w:sz w:val="28"/>
          <w:szCs w:val="28"/>
        </w:rPr>
      </w:pPr>
      <w:r>
        <w:rPr>
          <w:rFonts w:hint="eastAsia" w:ascii="宋体" w:hAnsi="宋体" w:cs="Arial"/>
          <w:sz w:val="28"/>
          <w:szCs w:val="28"/>
        </w:rPr>
        <w:t>四</w:t>
      </w:r>
      <w:r>
        <w:rPr>
          <w:rFonts w:ascii="宋体" w:hAnsi="宋体" w:cs="Arial"/>
          <w:sz w:val="28"/>
          <w:szCs w:val="28"/>
        </w:rPr>
        <w:t>、</w:t>
      </w:r>
      <w:r>
        <w:rPr>
          <w:rFonts w:hint="eastAsia" w:ascii="宋体" w:hAnsi="宋体" w:cs="Arial"/>
          <w:sz w:val="28"/>
          <w:szCs w:val="28"/>
        </w:rPr>
        <w:t>评分标准</w:t>
      </w:r>
    </w:p>
    <w:p>
      <w:pPr>
        <w:spacing w:line="360" w:lineRule="auto"/>
        <w:rPr>
          <w:rFonts w:ascii="宋体" w:hAnsi="宋体" w:cs="宋体"/>
          <w:bCs/>
          <w:color w:val="000000"/>
          <w:kern w:val="0"/>
          <w:sz w:val="24"/>
        </w:rPr>
      </w:pPr>
      <w:r>
        <w:rPr>
          <w:rFonts w:hint="eastAsia" w:ascii="宋体" w:hAnsi="宋体" w:cs="宋体"/>
          <w:bCs/>
          <w:color w:val="000000"/>
          <w:kern w:val="0"/>
          <w:sz w:val="24"/>
        </w:rPr>
        <w:t>本次招标采用综合评分法，满分为100分，具体评分标准如下：</w:t>
      </w:r>
    </w:p>
    <w:tbl>
      <w:tblPr>
        <w:tblStyle w:val="11"/>
        <w:tblW w:w="10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538"/>
        <w:gridCol w:w="67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ascii="宋体" w:hAnsi="宋体" w:cs="宋体"/>
                <w:b/>
                <w:bCs/>
                <w:sz w:val="24"/>
                <w:szCs w:val="24"/>
              </w:rPr>
              <w:t>类别</w:t>
            </w:r>
          </w:p>
        </w:tc>
        <w:tc>
          <w:tcPr>
            <w:tcW w:w="1538"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ascii="宋体" w:hAnsi="宋体" w:cs="宋体"/>
                <w:b/>
                <w:bCs/>
                <w:sz w:val="24"/>
                <w:szCs w:val="24"/>
              </w:rPr>
              <w:t>评分内容</w:t>
            </w:r>
          </w:p>
        </w:tc>
        <w:tc>
          <w:tcPr>
            <w:tcW w:w="6733"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ascii="宋体" w:hAnsi="宋体" w:cs="宋体"/>
                <w:b/>
                <w:bCs/>
                <w:sz w:val="24"/>
                <w:szCs w:val="24"/>
              </w:rPr>
              <w:t>评分标准</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ascii="宋体" w:hAnsi="宋体" w:cs="宋体"/>
                <w:b/>
                <w:bCs/>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restart"/>
            <w:tcBorders>
              <w:top w:val="single" w:color="auto" w:sz="4" w:space="0"/>
              <w:left w:val="single" w:color="auto" w:sz="4" w:space="0"/>
              <w:right w:val="single" w:color="auto" w:sz="4" w:space="0"/>
            </w:tcBorders>
            <w:vAlign w:val="center"/>
          </w:tcPr>
          <w:p>
            <w:pPr>
              <w:spacing w:line="36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技术资信分</w:t>
            </w:r>
          </w:p>
          <w:p>
            <w:pPr>
              <w:spacing w:line="36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（70分）</w:t>
            </w:r>
          </w:p>
        </w:tc>
        <w:tc>
          <w:tcPr>
            <w:tcW w:w="1538"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重要技术参数</w:t>
            </w:r>
          </w:p>
        </w:tc>
        <w:tc>
          <w:tcPr>
            <w:tcW w:w="673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根据投标人所投产品对招标文件采购需求中标“◆”的技术参数及要求的响应情况进行评分：</w:t>
            </w:r>
          </w:p>
          <w:p>
            <w:pPr>
              <w:spacing w:line="360" w:lineRule="auto"/>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标注“◆”的条款每满足或优于一项得3分，共1</w:t>
            </w:r>
            <w:r>
              <w:rPr>
                <w:rFonts w:hint="eastAsia" w:ascii="宋体" w:hAnsi="宋体" w:cs="Arial"/>
                <w:color w:val="000000" w:themeColor="text1"/>
                <w:lang w:val="en-US" w:eastAsia="zh-CN"/>
                <w14:textFill>
                  <w14:solidFill>
                    <w14:schemeClr w14:val="tx1"/>
                  </w14:solidFill>
                </w14:textFill>
              </w:rPr>
              <w:t>2</w:t>
            </w:r>
            <w:r>
              <w:rPr>
                <w:rFonts w:hint="eastAsia" w:ascii="宋体" w:hAnsi="宋体" w:cs="Arial"/>
                <w:color w:val="000000" w:themeColor="text1"/>
                <w14:textFill>
                  <w14:solidFill>
                    <w14:schemeClr w14:val="tx1"/>
                  </w14:solidFill>
                </w14:textFill>
              </w:rPr>
              <w:t>项，共计3</w:t>
            </w:r>
            <w:r>
              <w:rPr>
                <w:rFonts w:hint="eastAsia" w:ascii="宋体" w:hAnsi="宋体" w:cs="Arial"/>
                <w:color w:val="000000" w:themeColor="text1"/>
                <w:lang w:val="en-US" w:eastAsia="zh-CN"/>
                <w14:textFill>
                  <w14:solidFill>
                    <w14:schemeClr w14:val="tx1"/>
                  </w14:solidFill>
                </w14:textFill>
              </w:rPr>
              <w:t>6</w:t>
            </w:r>
            <w:r>
              <w:rPr>
                <w:rFonts w:hint="eastAsia" w:ascii="宋体" w:hAnsi="宋体" w:cs="Arial"/>
                <w:color w:val="000000" w:themeColor="text1"/>
                <w14:textFill>
                  <w14:solidFill>
                    <w14:schemeClr w14:val="tx1"/>
                  </w14:solidFill>
                </w14:textFill>
              </w:rPr>
              <w:t>分；</w:t>
            </w:r>
          </w:p>
          <w:p>
            <w:pPr>
              <w:spacing w:line="360" w:lineRule="auto"/>
              <w:rPr>
                <w:rFonts w:ascii="宋体" w:hAnsi="宋体" w:cs="Arial"/>
                <w:color w:val="000000" w:themeColor="text1"/>
                <w14:textFill>
                  <w14:solidFill>
                    <w14:schemeClr w14:val="tx1"/>
                  </w14:solidFill>
                </w14:textFill>
              </w:rPr>
            </w:pPr>
            <w:r>
              <w:rPr>
                <w:rFonts w:hint="eastAsia" w:ascii="宋体" w:hAnsi="宋体" w:cs="Arial"/>
                <w:color w:val="000000" w:themeColor="text1"/>
                <w:lang w:val="en-US" w:eastAsia="zh-CN"/>
                <w14:textFill>
                  <w14:solidFill>
                    <w14:schemeClr w14:val="tx1"/>
                  </w14:solidFill>
                </w14:textFill>
              </w:rPr>
              <w:t>注：</w:t>
            </w:r>
            <w:r>
              <w:rPr>
                <w:rFonts w:hint="eastAsia" w:ascii="宋体" w:hAnsi="宋体" w:cs="Arial"/>
                <w:color w:val="000000" w:themeColor="text1"/>
                <w14:textFill>
                  <w14:solidFill>
                    <w14:schemeClr w14:val="tx1"/>
                  </w14:solidFill>
                </w14:textFill>
              </w:rPr>
              <w:t>提供招标文件规定的证明材料。若招标文件未明确要求何种证明材料，则以制造商公开发布的资料或检测机构出具的检测报告为准。若制造商公开发布的资料与检测机构出具</w:t>
            </w:r>
            <w:bookmarkStart w:id="0" w:name="_GoBack"/>
            <w:bookmarkEnd w:id="0"/>
            <w:r>
              <w:rPr>
                <w:rFonts w:hint="eastAsia" w:ascii="宋体" w:hAnsi="宋体" w:cs="Arial"/>
                <w:color w:val="000000" w:themeColor="text1"/>
                <w14:textFill>
                  <w14:solidFill>
                    <w14:schemeClr w14:val="tx1"/>
                  </w14:solidFill>
                </w14:textFill>
              </w:rPr>
              <w:t>的检测报告不一致，以检测机构出具的检测报告为准。</w:t>
            </w:r>
          </w:p>
          <w:p>
            <w:pPr>
              <w:spacing w:line="360" w:lineRule="auto"/>
              <w:rPr>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w:t>
            </w:r>
          </w:p>
          <w:p>
            <w:pPr>
              <w:spacing w:line="360" w:lineRule="auto"/>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合同签订</w:t>
            </w:r>
            <w:r>
              <w:rPr>
                <w:rFonts w:hint="eastAsia" w:ascii="宋体" w:hAnsi="宋体" w:cs="宋体"/>
                <w:b/>
                <w:bCs/>
                <w:color w:val="000000" w:themeColor="text1"/>
                <w:lang w:val="en-US" w:eastAsia="zh-CN"/>
                <w14:textFill>
                  <w14:solidFill>
                    <w14:schemeClr w14:val="tx1"/>
                  </w14:solidFill>
                </w14:textFill>
              </w:rPr>
              <w:t>后</w:t>
            </w:r>
            <w:r>
              <w:rPr>
                <w:rFonts w:hint="eastAsia" w:ascii="宋体" w:hAnsi="宋体" w:cs="宋体"/>
                <w:b/>
                <w:bCs/>
                <w:color w:val="000000" w:themeColor="text1"/>
                <w14:textFill>
                  <w14:solidFill>
                    <w14:schemeClr w14:val="tx1"/>
                  </w14:solidFill>
                </w14:textFill>
              </w:rPr>
              <w:t>中标人须根据采购人要求对招标产品要求响应情况逐条测试，如发现虚假响应的，采购人有权终止合同采购，并报相关部门依规处理。</w:t>
            </w:r>
          </w:p>
        </w:tc>
        <w:tc>
          <w:tcPr>
            <w:tcW w:w="10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r>
              <w:rPr>
                <w:rFonts w:cs="宋体"/>
                <w:color w:val="000000" w:themeColor="text1"/>
                <w14:textFill>
                  <w14:solidFill>
                    <w14:schemeClr w14:val="tx1"/>
                  </w14:solidFill>
                </w14:textFill>
              </w:rPr>
              <w:t>36</w:t>
            </w:r>
            <w:r>
              <w:rPr>
                <w:rFonts w:hint="eastAsia" w:ascii="宋体" w:hAnsi="宋体" w:cs="宋体"/>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themeColor="text1"/>
                <w14:textFill>
                  <w14:solidFill>
                    <w14:schemeClr w14:val="tx1"/>
                  </w14:solidFill>
                </w14:textFill>
              </w:rPr>
            </w:pPr>
          </w:p>
        </w:tc>
        <w:tc>
          <w:tcPr>
            <w:tcW w:w="153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视频督导及</w:t>
            </w:r>
            <w:r>
              <w:rPr>
                <w:rFonts w:hint="eastAsia"/>
              </w:rPr>
              <w:t>课堂教学分析</w:t>
            </w:r>
            <w:r>
              <w:rPr>
                <w:rFonts w:hint="eastAsia" w:ascii="宋体" w:hAnsi="宋体" w:cs="宋体"/>
                <w:color w:val="000000" w:themeColor="text1"/>
                <w14:textFill>
                  <w14:solidFill>
                    <w14:schemeClr w14:val="tx1"/>
                  </w14:solidFill>
                </w14:textFill>
              </w:rPr>
              <w:t>方案</w:t>
            </w:r>
          </w:p>
        </w:tc>
        <w:tc>
          <w:tcPr>
            <w:tcW w:w="67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pPr>
            <w:r>
              <w:rPr>
                <w:rFonts w:hint="eastAsia"/>
              </w:rPr>
              <w:t>供应商应充分理解采购人的项目需求，根据视频转录及数据分析服务集群</w:t>
            </w:r>
            <w:r>
              <w:rPr>
                <w:rFonts w:hint="eastAsia" w:ascii="宋体" w:hAnsi="宋体" w:cs="宋体"/>
              </w:rPr>
              <w:t>中</w:t>
            </w:r>
            <w:r>
              <w:rPr>
                <w:rFonts w:hint="eastAsia"/>
              </w:rPr>
              <w:t>视频督导及课堂教学分析要求提供方案（包括系统集成、各功能设计等），进行评分。</w:t>
            </w:r>
          </w:p>
          <w:p>
            <w:pPr>
              <w:widowControl/>
              <w:spacing w:line="360" w:lineRule="auto"/>
              <w:jc w:val="left"/>
            </w:pPr>
            <w:r>
              <w:t>1</w:t>
            </w:r>
            <w:r>
              <w:rPr>
                <w:rFonts w:hint="eastAsia"/>
              </w:rPr>
              <w:t>、充分理解采购人需求，方案内容详细、完善、满足对接要求的，得</w:t>
            </w:r>
            <w:r>
              <w:t>5</w:t>
            </w:r>
            <w:r>
              <w:rPr>
                <w:rFonts w:hint="eastAsia"/>
              </w:rPr>
              <w:t>分；</w:t>
            </w:r>
          </w:p>
          <w:p>
            <w:pPr>
              <w:widowControl/>
              <w:spacing w:line="360" w:lineRule="auto"/>
              <w:jc w:val="left"/>
            </w:pPr>
            <w:r>
              <w:t>2</w:t>
            </w:r>
            <w:r>
              <w:rPr>
                <w:rFonts w:hint="eastAsia"/>
              </w:rPr>
              <w:t>、基本理解采购人需求，方案内容基本完善、基本满足对接要求的，得</w:t>
            </w:r>
            <w:r>
              <w:t>3</w:t>
            </w:r>
            <w:r>
              <w:rPr>
                <w:rFonts w:hint="eastAsia"/>
              </w:rPr>
              <w:t>分；</w:t>
            </w:r>
          </w:p>
          <w:p>
            <w:pPr>
              <w:widowControl/>
              <w:spacing w:line="360" w:lineRule="auto"/>
              <w:jc w:val="left"/>
              <w:rPr>
                <w:rFonts w:ascii="Cambria" w:hAnsi="Cambria" w:cs="Cambria"/>
              </w:rPr>
            </w:pPr>
            <w:r>
              <w:t>3</w:t>
            </w:r>
            <w:r>
              <w:rPr>
                <w:rFonts w:hint="eastAsia"/>
              </w:rPr>
              <w:t>、对于采购人需求理解不够充分，方案内容简单，</w:t>
            </w:r>
            <w:r>
              <w:rPr>
                <w:rFonts w:hint="eastAsia" w:ascii="Cambria" w:hAnsi="Cambria" w:cs="Cambria"/>
              </w:rPr>
              <w:t>有待进一步细化提升的</w:t>
            </w:r>
            <w:r>
              <w:rPr>
                <w:rFonts w:hint="eastAsia"/>
              </w:rPr>
              <w:t>，</w:t>
            </w:r>
            <w:r>
              <w:rPr>
                <w:rFonts w:hint="eastAsia" w:ascii="Cambria" w:hAnsi="Cambria" w:cs="Cambria"/>
              </w:rPr>
              <w:t>得</w:t>
            </w:r>
            <w:r>
              <w:rPr>
                <w:rFonts w:ascii="Cambria" w:hAnsi="Cambria" w:cs="Cambria"/>
              </w:rPr>
              <w:t>1</w:t>
            </w:r>
            <w:r>
              <w:rPr>
                <w:rFonts w:hint="eastAsia" w:ascii="Cambria" w:hAnsi="Cambria" w:cs="Cambria"/>
              </w:rPr>
              <w:t>分；</w:t>
            </w:r>
          </w:p>
          <w:p>
            <w:pPr>
              <w:widowControl/>
              <w:spacing w:line="360" w:lineRule="auto"/>
              <w:jc w:val="left"/>
            </w:pPr>
            <w:r>
              <w:rPr>
                <w:rFonts w:ascii="Cambria" w:hAnsi="Cambria" w:cs="Cambria"/>
              </w:rPr>
              <w:t>4</w:t>
            </w:r>
            <w:r>
              <w:rPr>
                <w:rFonts w:hint="eastAsia" w:ascii="Cambria" w:hAnsi="Cambria" w:cs="Cambria"/>
              </w:rPr>
              <w:t>、方案差或未提供方案不得分。</w:t>
            </w:r>
          </w:p>
        </w:tc>
        <w:tc>
          <w:tcPr>
            <w:tcW w:w="10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themeColor="text1"/>
                <w14:textFill>
                  <w14:solidFill>
                    <w14:schemeClr w14:val="tx1"/>
                  </w14:solidFill>
                </w14:textFill>
              </w:rPr>
            </w:pPr>
          </w:p>
        </w:tc>
        <w:tc>
          <w:tcPr>
            <w:tcW w:w="153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AI数据分析方案</w:t>
            </w:r>
          </w:p>
        </w:tc>
        <w:tc>
          <w:tcPr>
            <w:tcW w:w="67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pPr>
            <w:r>
              <w:rPr>
                <w:rFonts w:hint="eastAsia"/>
              </w:rPr>
              <w:t>供应商应充分理解采购人的项目需求，根据视频转录及数据分析服务集群</w:t>
            </w:r>
            <w:r>
              <w:rPr>
                <w:rFonts w:hint="eastAsia" w:ascii="Times New Roman" w:hAnsi="Times New Roman" w:cs="Times New Roman"/>
              </w:rPr>
              <w:t>中</w:t>
            </w:r>
            <w:r>
              <w:rPr>
                <w:rFonts w:hint="eastAsia"/>
              </w:rPr>
              <w:t>AI数据分析要求提供方案（包括系统集成、各功能设计等），进行评分。</w:t>
            </w:r>
          </w:p>
          <w:p>
            <w:pPr>
              <w:widowControl/>
              <w:spacing w:line="360" w:lineRule="auto"/>
              <w:jc w:val="left"/>
            </w:pPr>
            <w:r>
              <w:t>1</w:t>
            </w:r>
            <w:r>
              <w:rPr>
                <w:rFonts w:hint="eastAsia"/>
              </w:rPr>
              <w:t>、充分理解采购人需求，方案内容详细、完善、满足对接要求的，得</w:t>
            </w:r>
            <w:r>
              <w:t>5</w:t>
            </w:r>
            <w:r>
              <w:rPr>
                <w:rFonts w:hint="eastAsia"/>
              </w:rPr>
              <w:t>分；</w:t>
            </w:r>
          </w:p>
          <w:p>
            <w:pPr>
              <w:widowControl/>
              <w:spacing w:line="360" w:lineRule="auto"/>
              <w:jc w:val="left"/>
            </w:pPr>
            <w:r>
              <w:t>2</w:t>
            </w:r>
            <w:r>
              <w:rPr>
                <w:rFonts w:hint="eastAsia"/>
              </w:rPr>
              <w:t>、基本理解采购人需求，方案内容基本完善、基本满足对接要求的，得</w:t>
            </w:r>
            <w:r>
              <w:t>3</w:t>
            </w:r>
            <w:r>
              <w:rPr>
                <w:rFonts w:hint="eastAsia"/>
              </w:rPr>
              <w:t>分；</w:t>
            </w:r>
          </w:p>
          <w:p>
            <w:pPr>
              <w:widowControl/>
              <w:spacing w:line="360" w:lineRule="auto"/>
              <w:jc w:val="left"/>
              <w:rPr>
                <w:rFonts w:ascii="Cambria" w:hAnsi="Cambria" w:cs="Cambria"/>
              </w:rPr>
            </w:pPr>
            <w:r>
              <w:t>3</w:t>
            </w:r>
            <w:r>
              <w:rPr>
                <w:rFonts w:hint="eastAsia"/>
              </w:rPr>
              <w:t>、对于采购人需求理解不够充分，方案内容简单，</w:t>
            </w:r>
            <w:r>
              <w:rPr>
                <w:rFonts w:hint="eastAsia" w:ascii="Cambria" w:hAnsi="Cambria" w:cs="Cambria"/>
              </w:rPr>
              <w:t>有待进一步细化提升的</w:t>
            </w:r>
            <w:r>
              <w:rPr>
                <w:rFonts w:hint="eastAsia"/>
              </w:rPr>
              <w:t>，</w:t>
            </w:r>
            <w:r>
              <w:rPr>
                <w:rFonts w:hint="eastAsia" w:ascii="Cambria" w:hAnsi="Cambria" w:cs="Cambria"/>
              </w:rPr>
              <w:t>得</w:t>
            </w:r>
            <w:r>
              <w:rPr>
                <w:rFonts w:ascii="Cambria" w:hAnsi="Cambria" w:cs="Cambria"/>
              </w:rPr>
              <w:t>1</w:t>
            </w:r>
            <w:r>
              <w:rPr>
                <w:rFonts w:hint="eastAsia" w:ascii="Cambria" w:hAnsi="Cambria" w:cs="Cambria"/>
              </w:rPr>
              <w:t>分；</w:t>
            </w:r>
          </w:p>
          <w:p>
            <w:pPr>
              <w:widowControl/>
              <w:spacing w:line="360" w:lineRule="auto"/>
              <w:jc w:val="left"/>
            </w:pPr>
            <w:r>
              <w:rPr>
                <w:rFonts w:ascii="Cambria" w:hAnsi="Cambria" w:cs="Cambria"/>
              </w:rPr>
              <w:t>4</w:t>
            </w:r>
            <w:r>
              <w:rPr>
                <w:rFonts w:hint="eastAsia" w:ascii="Cambria" w:hAnsi="Cambria" w:cs="Cambria"/>
              </w:rPr>
              <w:t>、</w:t>
            </w:r>
            <w:r>
              <w:rPr>
                <w:rFonts w:hint="eastAsia"/>
              </w:rPr>
              <w:t>方案差或</w:t>
            </w:r>
            <w:r>
              <w:rPr>
                <w:rFonts w:hint="eastAsia" w:ascii="Cambria" w:hAnsi="Cambria" w:cs="Cambria"/>
              </w:rPr>
              <w:t>未提供方案不得分。</w:t>
            </w:r>
          </w:p>
        </w:tc>
        <w:tc>
          <w:tcPr>
            <w:tcW w:w="10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left w:val="single" w:color="auto" w:sz="4" w:space="0"/>
              <w:right w:val="single" w:color="auto" w:sz="4" w:space="0"/>
            </w:tcBorders>
            <w:vAlign w:val="center"/>
          </w:tcPr>
          <w:p>
            <w:pPr>
              <w:spacing w:line="360" w:lineRule="auto"/>
              <w:rPr>
                <w:color w:val="000000" w:themeColor="text1"/>
                <w14:textFill>
                  <w14:solidFill>
                    <w14:schemeClr w14:val="tx1"/>
                  </w14:solidFill>
                </w14:textFill>
              </w:rPr>
            </w:pPr>
          </w:p>
        </w:tc>
        <w:tc>
          <w:tcPr>
            <w:tcW w:w="1538"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项目实施方案</w:t>
            </w:r>
          </w:p>
        </w:tc>
        <w:tc>
          <w:tcPr>
            <w:tcW w:w="67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000000" w:themeColor="text1"/>
                <w14:textFill>
                  <w14:solidFill>
                    <w14:schemeClr w14:val="tx1"/>
                  </w14:solidFill>
                </w14:textFill>
              </w:rPr>
            </w:pPr>
            <w:r>
              <w:rPr>
                <w:rFonts w:hint="eastAsia"/>
              </w:rPr>
              <w:t>供应商应充分理解采购人的项目需求，</w:t>
            </w:r>
            <w:r>
              <w:rPr>
                <w:rFonts w:hint="eastAsia" w:ascii="宋体" w:hAnsi="宋体" w:cs="Arial"/>
                <w:color w:val="000000" w:themeColor="text1"/>
                <w14:textFill>
                  <w14:solidFill>
                    <w14:schemeClr w14:val="tx1"/>
                  </w14:solidFill>
                </w14:textFill>
              </w:rPr>
              <w:t>根据投标文件中提供的供货、安装实施方案(包括：运输过程中的产品保护措施方案、产品装卸过程中保护措施方案、安装过程专业人员操作规范制度、</w:t>
            </w:r>
            <w:r>
              <w:rPr>
                <w:rFonts w:hint="eastAsia" w:ascii="宋体" w:hAnsi="宋体" w:cs="宋体"/>
                <w:color w:val="000000" w:themeColor="text1"/>
                <w14:textFill>
                  <w14:solidFill>
                    <w14:schemeClr w14:val="tx1"/>
                  </w14:solidFill>
                </w14:textFill>
              </w:rPr>
              <w:t>项目实施计划、项目风险管理、项目开发测试运行方案、以及项目验收方案</w:t>
            </w:r>
            <w:r>
              <w:rPr>
                <w:rFonts w:hint="eastAsia" w:ascii="宋体" w:hAnsi="宋体" w:cs="Arial"/>
                <w:color w:val="000000" w:themeColor="text1"/>
                <w14:textFill>
                  <w14:solidFill>
                    <w14:schemeClr w14:val="tx1"/>
                  </w14:solidFill>
                </w14:textFill>
              </w:rPr>
              <w:t xml:space="preserve">等)进行综合评审： </w:t>
            </w:r>
          </w:p>
          <w:p>
            <w:pPr>
              <w:spacing w:line="360" w:lineRule="auto"/>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1、</w:t>
            </w:r>
            <w:r>
              <w:rPr>
                <w:rFonts w:hint="eastAsia"/>
              </w:rPr>
              <w:t>充分理解采购人需求，</w:t>
            </w:r>
            <w:r>
              <w:rPr>
                <w:rFonts w:hint="eastAsia" w:ascii="宋体" w:hAnsi="宋体" w:cs="Arial"/>
                <w:color w:val="000000" w:themeColor="text1"/>
                <w14:textFill>
                  <w14:solidFill>
                    <w14:schemeClr w14:val="tx1"/>
                  </w14:solidFill>
                </w14:textFill>
              </w:rPr>
              <w:t>方案内容完整、详尽细致；可行性、针对性强，完全满足采购需求的，得</w:t>
            </w:r>
            <w:r>
              <w:rPr>
                <w:rFonts w:ascii="宋体" w:hAnsi="宋体" w:cs="Arial"/>
                <w:color w:val="000000" w:themeColor="text1"/>
                <w14:textFill>
                  <w14:solidFill>
                    <w14:schemeClr w14:val="tx1"/>
                  </w14:solidFill>
                </w14:textFill>
              </w:rPr>
              <w:t>5</w:t>
            </w:r>
            <w:r>
              <w:rPr>
                <w:rFonts w:hint="eastAsia" w:ascii="宋体" w:hAnsi="宋体" w:cs="Arial"/>
                <w:color w:val="000000" w:themeColor="text1"/>
                <w14:textFill>
                  <w14:solidFill>
                    <w14:schemeClr w14:val="tx1"/>
                  </w14:solidFill>
                </w14:textFill>
              </w:rPr>
              <w:t xml:space="preserve"> 分； </w:t>
            </w:r>
          </w:p>
          <w:p>
            <w:pPr>
              <w:spacing w:line="360" w:lineRule="auto"/>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2、</w:t>
            </w:r>
            <w:r>
              <w:rPr>
                <w:rFonts w:hint="eastAsia"/>
              </w:rPr>
              <w:t>基本理解采购人需求，</w:t>
            </w:r>
            <w:r>
              <w:rPr>
                <w:rFonts w:hint="eastAsia" w:ascii="宋体" w:hAnsi="宋体" w:cs="Arial"/>
                <w:color w:val="000000" w:themeColor="text1"/>
                <w14:textFill>
                  <w14:solidFill>
                    <w14:schemeClr w14:val="tx1"/>
                  </w14:solidFill>
                </w14:textFill>
              </w:rPr>
              <w:t xml:space="preserve">方案内容基本涵盖所列举的内容，具有可行性和针对性的，基本能满足采购需求的，得 </w:t>
            </w:r>
            <w:r>
              <w:rPr>
                <w:rFonts w:ascii="宋体" w:hAnsi="宋体" w:cs="Arial"/>
                <w:color w:val="000000" w:themeColor="text1"/>
                <w14:textFill>
                  <w14:solidFill>
                    <w14:schemeClr w14:val="tx1"/>
                  </w14:solidFill>
                </w14:textFill>
              </w:rPr>
              <w:t>3</w:t>
            </w:r>
            <w:r>
              <w:rPr>
                <w:rFonts w:hint="eastAsia" w:ascii="宋体" w:hAnsi="宋体" w:cs="Arial"/>
                <w:color w:val="000000" w:themeColor="text1"/>
                <w14:textFill>
                  <w14:solidFill>
                    <w14:schemeClr w14:val="tx1"/>
                  </w14:solidFill>
                </w14:textFill>
              </w:rPr>
              <w:t xml:space="preserve"> 分； </w:t>
            </w:r>
          </w:p>
          <w:p>
            <w:pPr>
              <w:spacing w:line="360" w:lineRule="auto"/>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3、</w:t>
            </w:r>
            <w:r>
              <w:rPr>
                <w:rFonts w:hint="eastAsia"/>
              </w:rPr>
              <w:t>对于采购人需求理解不够充分，</w:t>
            </w:r>
            <w:r>
              <w:rPr>
                <w:rFonts w:hint="eastAsia" w:ascii="宋体" w:hAnsi="宋体" w:cs="Arial"/>
                <w:color w:val="000000" w:themeColor="text1"/>
                <w14:textFill>
                  <w14:solidFill>
                    <w14:schemeClr w14:val="tx1"/>
                  </w14:solidFill>
                </w14:textFill>
              </w:rPr>
              <w:t>方案内容简单，</w:t>
            </w:r>
            <w:r>
              <w:rPr>
                <w:rFonts w:hint="eastAsia"/>
              </w:rPr>
              <w:t>存在缺陷，有待进一步细化提升的</w:t>
            </w:r>
            <w:r>
              <w:rPr>
                <w:rFonts w:hint="eastAsia" w:ascii="宋体" w:hAnsi="宋体" w:cs="Arial"/>
                <w:color w:val="000000" w:themeColor="text1"/>
                <w14:textFill>
                  <w14:solidFill>
                    <w14:schemeClr w14:val="tx1"/>
                  </w14:solidFill>
                </w14:textFill>
              </w:rPr>
              <w:t xml:space="preserve">，得 </w:t>
            </w:r>
            <w:r>
              <w:rPr>
                <w:rFonts w:ascii="宋体" w:hAnsi="宋体" w:cs="Arial"/>
                <w:color w:val="000000" w:themeColor="text1"/>
                <w14:textFill>
                  <w14:solidFill>
                    <w14:schemeClr w14:val="tx1"/>
                  </w14:solidFill>
                </w14:textFill>
              </w:rPr>
              <w:t>1</w:t>
            </w:r>
            <w:r>
              <w:rPr>
                <w:rFonts w:hint="eastAsia" w:ascii="宋体" w:hAnsi="宋体" w:cs="Arial"/>
                <w:color w:val="000000" w:themeColor="text1"/>
                <w14:textFill>
                  <w14:solidFill>
                    <w14:schemeClr w14:val="tx1"/>
                  </w14:solidFill>
                </w14:textFill>
              </w:rPr>
              <w:t xml:space="preserve"> 分； </w:t>
            </w:r>
          </w:p>
          <w:p>
            <w:pPr>
              <w:spacing w:line="360" w:lineRule="auto"/>
              <w:rPr>
                <w:color w:val="000000" w:themeColor="text1"/>
                <w14:textFill>
                  <w14:solidFill>
                    <w14:schemeClr w14:val="tx1"/>
                  </w14:solidFill>
                </w14:textFill>
              </w:rPr>
            </w:pPr>
            <w:r>
              <w:rPr>
                <w:rFonts w:ascii="宋体" w:hAnsi="宋体" w:cs="Arial"/>
                <w:color w:val="000000" w:themeColor="text1"/>
                <w14:textFill>
                  <w14:solidFill>
                    <w14:schemeClr w14:val="tx1"/>
                  </w14:solidFill>
                </w14:textFill>
              </w:rPr>
              <w:t>4</w:t>
            </w:r>
            <w:r>
              <w:rPr>
                <w:rFonts w:hint="eastAsia" w:ascii="宋体" w:hAnsi="宋体" w:cs="Arial"/>
                <w:color w:val="000000" w:themeColor="text1"/>
                <w14:textFill>
                  <w14:solidFill>
                    <w14:schemeClr w14:val="tx1"/>
                  </w14:solidFill>
                </w14:textFill>
              </w:rPr>
              <w:t>、</w:t>
            </w:r>
            <w:r>
              <w:rPr>
                <w:rFonts w:hint="eastAsia"/>
              </w:rPr>
              <w:t>方案差或</w:t>
            </w:r>
            <w:r>
              <w:rPr>
                <w:rFonts w:hint="eastAsia" w:ascii="宋体" w:hAnsi="宋体" w:cs="Arial"/>
                <w:color w:val="000000" w:themeColor="text1"/>
                <w14:textFill>
                  <w14:solidFill>
                    <w14:schemeClr w14:val="tx1"/>
                  </w14:solidFill>
                </w14:textFill>
              </w:rPr>
              <w:t>未提供相关内容的不得分。</w:t>
            </w:r>
          </w:p>
        </w:tc>
        <w:tc>
          <w:tcPr>
            <w:tcW w:w="10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left w:val="single" w:color="auto" w:sz="4" w:space="0"/>
              <w:right w:val="single" w:color="auto" w:sz="4" w:space="0"/>
            </w:tcBorders>
            <w:vAlign w:val="center"/>
          </w:tcPr>
          <w:p>
            <w:pPr>
              <w:spacing w:line="360" w:lineRule="auto"/>
              <w:rPr>
                <w:color w:val="000000" w:themeColor="text1"/>
                <w14:textFill>
                  <w14:solidFill>
                    <w14:schemeClr w14:val="tx1"/>
                  </w14:solidFill>
                </w14:textFill>
              </w:rPr>
            </w:pPr>
          </w:p>
        </w:tc>
        <w:tc>
          <w:tcPr>
            <w:tcW w:w="153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售后服务方案</w:t>
            </w:r>
          </w:p>
        </w:tc>
        <w:tc>
          <w:tcPr>
            <w:tcW w:w="67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14:textFill>
                  <w14:solidFill>
                    <w14:schemeClr w14:val="tx1"/>
                  </w14:solidFill>
                </w14:textFill>
              </w:rPr>
            </w:pPr>
            <w:r>
              <w:rPr>
                <w:rFonts w:hint="eastAsia"/>
              </w:rPr>
              <w:t>供应商应充分理解采购人的项目需求，</w:t>
            </w:r>
            <w:r>
              <w:rPr>
                <w:rFonts w:hint="eastAsia" w:ascii="宋体" w:hAnsi="宋体" w:cs="宋体"/>
                <w:color w:val="000000" w:themeColor="text1"/>
                <w14:textFill>
                  <w14:solidFill>
                    <w14:schemeClr w14:val="tx1"/>
                  </w14:solidFill>
                </w14:textFill>
              </w:rPr>
              <w:t>根据供应商提供的技术支持和售后服务方案（包括售后服务承诺和履约保证、售后服务范围、维修保养具体内容、具体服务标准等）进行综合评价。</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rPr>
              <w:t>充分理解采购人需求，</w:t>
            </w:r>
            <w:r>
              <w:rPr>
                <w:rFonts w:hint="eastAsia" w:ascii="宋体" w:hAnsi="宋体" w:cs="宋体"/>
                <w:color w:val="000000" w:themeColor="text1"/>
                <w14:textFill>
                  <w14:solidFill>
                    <w14:schemeClr w14:val="tx1"/>
                  </w14:solidFill>
                </w14:textFill>
              </w:rPr>
              <w:t>售后服务方案内容详细、完善，实施性强，完全满足采购需求的，得</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分；</w:t>
            </w:r>
          </w:p>
          <w:p>
            <w:pPr>
              <w:spacing w:line="360" w:lineRule="auto"/>
            </w:pPr>
            <w:r>
              <w:rPr>
                <w:rFonts w:hint="eastAsia" w:ascii="宋体" w:hAnsi="宋体" w:cs="宋体"/>
                <w:color w:val="000000" w:themeColor="text1"/>
                <w14:textFill>
                  <w14:solidFill>
                    <w14:schemeClr w14:val="tx1"/>
                  </w14:solidFill>
                </w14:textFill>
              </w:rPr>
              <w:t>2、</w:t>
            </w:r>
            <w:r>
              <w:rPr>
                <w:rFonts w:hint="eastAsia"/>
              </w:rPr>
              <w:t>基本理解采购人需求，</w:t>
            </w:r>
            <w:r>
              <w:rPr>
                <w:rFonts w:hint="eastAsia" w:ascii="宋体" w:hAnsi="宋体" w:cs="宋体"/>
                <w:color w:val="000000" w:themeColor="text1"/>
                <w14:textFill>
                  <w14:solidFill>
                    <w14:schemeClr w14:val="tx1"/>
                  </w14:solidFill>
                </w14:textFill>
              </w:rPr>
              <w:t>售后服务方案内容基本涵盖所列举的内容，实施性一般，基本能满足采购需求的，得</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分；</w:t>
            </w:r>
          </w:p>
          <w:p>
            <w:pPr>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w:t>
            </w:r>
            <w:r>
              <w:rPr>
                <w:rFonts w:hint="eastAsia"/>
              </w:rPr>
              <w:t>对于采购人需求理解不够充分，</w:t>
            </w:r>
            <w:r>
              <w:rPr>
                <w:rFonts w:hint="eastAsia" w:ascii="宋体" w:hAnsi="宋体" w:cs="宋体"/>
                <w:color w:val="000000" w:themeColor="text1"/>
                <w14:textFill>
                  <w14:solidFill>
                    <w14:schemeClr w14:val="tx1"/>
                  </w14:solidFill>
                </w14:textFill>
              </w:rPr>
              <w:t>售后服务方案内容简单、存在缺陷，有待进一步细化提升的，得1分；</w:t>
            </w:r>
          </w:p>
          <w:p>
            <w:pPr>
              <w:spacing w:line="360" w:lineRule="auto"/>
              <w:rPr>
                <w:rFonts w:ascii="宋体" w:hAnsi="宋体" w:cs="Arial"/>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w:t>
            </w:r>
            <w:r>
              <w:rPr>
                <w:rFonts w:hint="eastAsia"/>
              </w:rPr>
              <w:t>方案差或</w:t>
            </w:r>
            <w:r>
              <w:rPr>
                <w:rFonts w:hint="eastAsia" w:ascii="宋体" w:hAnsi="宋体" w:cs="宋体"/>
                <w:color w:val="000000" w:themeColor="text1"/>
                <w14:textFill>
                  <w14:solidFill>
                    <w14:schemeClr w14:val="tx1"/>
                  </w14:solidFill>
                </w14:textFill>
              </w:rPr>
              <w:t>未提供相关内容的不得分。</w:t>
            </w:r>
          </w:p>
        </w:tc>
        <w:tc>
          <w:tcPr>
            <w:tcW w:w="10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left w:val="single" w:color="auto" w:sz="4" w:space="0"/>
              <w:right w:val="single" w:color="auto" w:sz="4" w:space="0"/>
            </w:tcBorders>
            <w:vAlign w:val="center"/>
          </w:tcPr>
          <w:p>
            <w:pPr>
              <w:spacing w:line="360" w:lineRule="auto"/>
              <w:rPr>
                <w:color w:val="000000" w:themeColor="text1"/>
                <w14:textFill>
                  <w14:solidFill>
                    <w14:schemeClr w14:val="tx1"/>
                  </w14:solidFill>
                </w14:textFill>
              </w:rPr>
            </w:pPr>
          </w:p>
        </w:tc>
        <w:tc>
          <w:tcPr>
            <w:tcW w:w="1538"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cs="宋体"/>
                <w:color w:val="000000" w:themeColor="text1"/>
                <w14:textFill>
                  <w14:solidFill>
                    <w14:schemeClr w14:val="tx1"/>
                  </w14:solidFill>
                </w14:textFill>
              </w:rPr>
              <w:t>认证</w:t>
            </w:r>
          </w:p>
        </w:tc>
        <w:tc>
          <w:tcPr>
            <w:tcW w:w="6733" w:type="dxa"/>
            <w:tcBorders>
              <w:top w:val="single" w:color="auto" w:sz="4" w:space="0"/>
              <w:left w:val="single" w:color="auto" w:sz="4" w:space="0"/>
              <w:bottom w:val="single" w:color="auto" w:sz="4" w:space="0"/>
              <w:right w:val="single" w:color="auto" w:sz="4" w:space="0"/>
            </w:tcBorders>
            <w:vAlign w:val="center"/>
          </w:tcPr>
          <w:p>
            <w:pPr>
              <w:spacing w:line="360" w:lineRule="auto"/>
            </w:pPr>
            <w:r>
              <w:rPr>
                <w:rFonts w:hint="eastAsia" w:ascii="宋体" w:hAnsi="宋体" w:cs="宋体"/>
                <w:color w:val="000000" w:themeColor="text1"/>
                <w14:textFill>
                  <w14:solidFill>
                    <w14:schemeClr w14:val="tx1"/>
                  </w14:solidFill>
                </w14:textFill>
              </w:rPr>
              <w:t>投标人具有经中国国家认证认可监督管理委员会认可的认证机构颁发的有效期内的：信息安全管理体系认证、质量管理体系认证、职业健康安全管理体系认证、环境管理体系认证证书的，有一项得</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分，最高得4分。</w:t>
            </w: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w:t>
            </w:r>
          </w:p>
          <w:p>
            <w:pPr>
              <w:spacing w:line="360" w:lineRule="auto"/>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提供相关资质复印件，加盖供应商公章，否则为不满足要求；其中第1项须同时提供国家认证认可信息公共服务平台官网证书信息查询截图；投标人所提供的证书必须真实可靠，如发现弄虚作假,则取消其本项目的中标资格,并报相关部门依规处理。</w:t>
            </w:r>
          </w:p>
        </w:tc>
        <w:tc>
          <w:tcPr>
            <w:tcW w:w="10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r>
              <w:rPr>
                <w:rFonts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left w:val="single" w:color="auto" w:sz="4" w:space="0"/>
              <w:right w:val="single" w:color="auto" w:sz="4" w:space="0"/>
            </w:tcBorders>
            <w:vAlign w:val="center"/>
          </w:tcPr>
          <w:p>
            <w:pPr>
              <w:spacing w:line="360" w:lineRule="auto"/>
              <w:rPr>
                <w:color w:val="000000" w:themeColor="text1"/>
                <w14:textFill>
                  <w14:solidFill>
                    <w14:schemeClr w14:val="tx1"/>
                  </w14:solidFill>
                </w14:textFill>
              </w:rPr>
            </w:pPr>
          </w:p>
        </w:tc>
        <w:tc>
          <w:tcPr>
            <w:tcW w:w="153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业绩人业绩</w:t>
            </w:r>
          </w:p>
        </w:tc>
        <w:tc>
          <w:tcPr>
            <w:tcW w:w="67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r>
              <w:rPr>
                <w:rFonts w:hint="eastAsia" w:ascii="宋体" w:hAnsi="宋体" w:cs="宋体"/>
              </w:rPr>
              <w:t>自2022年1月1日以来（以合同签订时间为准），投标人具有巡课管理、督导管理、教学质量管理、教学评价管理相关业绩（合同产品须与最终用户直签的业绩合同），每提供一个业绩得</w:t>
            </w:r>
            <w:r>
              <w:rPr>
                <w:rFonts w:ascii="宋体" w:hAnsi="宋体" w:cs="宋体"/>
              </w:rPr>
              <w:t>2</w:t>
            </w:r>
            <w:r>
              <w:rPr>
                <w:rFonts w:hint="eastAsia" w:ascii="宋体" w:hAnsi="宋体" w:cs="宋体"/>
              </w:rPr>
              <w:t>分，满分</w:t>
            </w:r>
            <w:r>
              <w:rPr>
                <w:rFonts w:ascii="宋体" w:hAnsi="宋体" w:cs="宋体"/>
              </w:rPr>
              <w:t>6</w:t>
            </w:r>
            <w:r>
              <w:rPr>
                <w:rFonts w:hint="eastAsia" w:ascii="宋体" w:hAnsi="宋体" w:cs="宋体"/>
              </w:rPr>
              <w:t>分。</w:t>
            </w:r>
          </w:p>
          <w:p>
            <w:pPr>
              <w:spacing w:line="360" w:lineRule="auto"/>
              <w:rPr>
                <w:rFonts w:ascii="宋体" w:hAnsi="宋体" w:cs="宋体"/>
              </w:rPr>
            </w:pPr>
            <w:r>
              <w:rPr>
                <w:rFonts w:hint="eastAsia" w:ascii="宋体" w:hAnsi="宋体" w:cs="宋体"/>
              </w:rPr>
              <w:t>注：</w:t>
            </w:r>
          </w:p>
          <w:p>
            <w:pPr>
              <w:spacing w:line="360" w:lineRule="auto"/>
              <w:rPr>
                <w:rFonts w:ascii="宋体" w:hAnsi="宋体" w:cs="宋体"/>
              </w:rPr>
            </w:pPr>
            <w:r>
              <w:rPr>
                <w:rFonts w:hint="eastAsia" w:ascii="宋体" w:hAnsi="宋体" w:cs="宋体"/>
              </w:rPr>
              <w:t>（1）投标文件中同时提供合同扫描件。如提供的上述材料无法体现业绩类别等关键信息的，须另附业主单位（合同甲方）提供的相关证明材料，且该证明材料须经评标委员会认可，否则不予计分。</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rPr>
              <w:t>（2）投标人需确保业绩合同真实有效，投标人须提供业绩合同原件供招标人核查，若业绩合同存在伪造、篡改等虚假情形，招标人将作废标处理，相关违规行为将上报行政监督部门记入信用档案，并依法追责。</w:t>
            </w:r>
          </w:p>
        </w:tc>
        <w:tc>
          <w:tcPr>
            <w:tcW w:w="10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left w:val="single" w:color="auto" w:sz="4" w:space="0"/>
              <w:right w:val="single" w:color="auto" w:sz="4" w:space="0"/>
            </w:tcBorders>
            <w:vAlign w:val="center"/>
          </w:tcPr>
          <w:p>
            <w:pPr>
              <w:spacing w:line="360" w:lineRule="auto"/>
              <w:rPr>
                <w:color w:val="000000" w:themeColor="text1"/>
                <w14:textFill>
                  <w14:solidFill>
                    <w14:schemeClr w14:val="tx1"/>
                  </w14:solidFill>
                </w14:textFill>
              </w:rPr>
            </w:pPr>
          </w:p>
        </w:tc>
        <w:tc>
          <w:tcPr>
            <w:tcW w:w="1538"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投标人技术实力</w:t>
            </w:r>
          </w:p>
        </w:tc>
        <w:tc>
          <w:tcPr>
            <w:tcW w:w="67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次项目需充分理解学校的教学管理业务需求，同时具有较强的信息化能力，为确保项目按期建设、正常投入使用，要求投标人具有专业的实施及项目管理人员，既有信息化专业背景同时又熟悉学校教学管理业务。</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1、投标人具有专业的开发及实施人员团队，实施人员中具有教育信息化相关资质的人员，具有《中国教育信息化专家信息数据库》收录证书的得2分；</w:t>
            </w:r>
          </w:p>
          <w:p>
            <w:pPr>
              <w:widowControl/>
              <w:tabs>
                <w:tab w:val="left" w:pos="2041"/>
                <w:tab w:val="left" w:pos="5907"/>
                <w:tab w:val="left" w:pos="9344"/>
              </w:tabs>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2、投标人具有项目管理专业人员资格认证PMP的项目经理的得</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分。</w:t>
            </w: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w:t>
            </w:r>
          </w:p>
          <w:p>
            <w:pPr>
              <w:spacing w:line="360" w:lineRule="auto"/>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提供相关资质复印件，加盖供应商公章，否则为不满足要求；投标人所提供的人员证书必须真实可靠，如发现弄虚作假,则取消其本项目的中标资格,并报相关部门依规处理。</w:t>
            </w:r>
          </w:p>
        </w:tc>
        <w:tc>
          <w:tcPr>
            <w:tcW w:w="10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Borders>
              <w:left w:val="single" w:color="auto" w:sz="4" w:space="0"/>
              <w:right w:val="single" w:color="auto" w:sz="4" w:space="0"/>
            </w:tcBorders>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价格分</w:t>
            </w:r>
          </w:p>
          <w:p>
            <w:pPr>
              <w:spacing w:line="360" w:lineRule="auto"/>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（30分）</w:t>
            </w:r>
          </w:p>
        </w:tc>
        <w:tc>
          <w:tcPr>
            <w:tcW w:w="930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价格分统一采用低价优先法，即满足招标文件要求且投标价格最低的投标报价为评标基准价，其价格分为满分</w:t>
            </w:r>
            <w:r>
              <w:rPr>
                <w:rFonts w:hint="eastAsia" w:ascii="宋体" w:hAnsi="宋体" w:cs="宋体"/>
                <w:color w:val="000000" w:themeColor="text1"/>
                <w:u w:val="single"/>
                <w14:textFill>
                  <w14:solidFill>
                    <w14:schemeClr w14:val="tx1"/>
                  </w14:solidFill>
                </w14:textFill>
              </w:rPr>
              <w:t>30</w:t>
            </w:r>
            <w:r>
              <w:rPr>
                <w:rFonts w:hint="eastAsia" w:ascii="宋体" w:hAnsi="宋体" w:cs="宋体"/>
                <w:color w:val="000000" w:themeColor="text1"/>
                <w14:textFill>
                  <w14:solidFill>
                    <w14:schemeClr w14:val="tx1"/>
                  </w14:solidFill>
                </w14:textFill>
              </w:rPr>
              <w:t>分。其他投标人的价格分统一按照下列公式计算：</w:t>
            </w:r>
          </w:p>
          <w:p>
            <w:pPr>
              <w:spacing w:line="360" w:lineRule="auto"/>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投标报价得分＝（评标基准价/投标报价）×</w:t>
            </w:r>
            <w:r>
              <w:rPr>
                <w:rFonts w:hint="eastAsia" w:ascii="宋体" w:hAnsi="宋体" w:cs="宋体"/>
                <w:color w:val="000000" w:themeColor="text1"/>
                <w:u w:val="single"/>
                <w14:textFill>
                  <w14:solidFill>
                    <w14:schemeClr w14:val="tx1"/>
                  </w14:solidFill>
                </w14:textFill>
              </w:rPr>
              <w:t>30</w:t>
            </w:r>
            <w:r>
              <w:rPr>
                <w:rFonts w:hint="eastAsia" w:ascii="宋体" w:hAnsi="宋体" w:cs="宋体"/>
                <w:color w:val="000000" w:themeColor="text1"/>
                <w14:textFill>
                  <w14:solidFill>
                    <w14:schemeClr w14:val="tx1"/>
                  </w14:solidFill>
                </w14:textFill>
              </w:rPr>
              <w:t>％×100</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宋体"/>
    <w:panose1 w:val="020B0400000000000000"/>
    <w:charset w:val="86"/>
    <w:family w:val="swiss"/>
    <w:pitch w:val="default"/>
    <w:sig w:usb0="00000000" w:usb1="00000000" w:usb2="00000017"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E16DF"/>
    <w:multiLevelType w:val="singleLevel"/>
    <w:tmpl w:val="873E16DF"/>
    <w:lvl w:ilvl="0" w:tentative="0">
      <w:start w:val="1"/>
      <w:numFmt w:val="chineseCounting"/>
      <w:suff w:val="nothing"/>
      <w:lvlText w:val="%1、"/>
      <w:lvlJc w:val="left"/>
      <w:rPr>
        <w:rFonts w:hint="eastAsia"/>
      </w:rPr>
    </w:lvl>
  </w:abstractNum>
  <w:abstractNum w:abstractNumId="1">
    <w:nsid w:val="A313AC76"/>
    <w:multiLevelType w:val="singleLevel"/>
    <w:tmpl w:val="A313AC7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jNTdhMmI2NWRkMzAyZGVmYzNiMzEyM2YyMDNhZjIifQ=="/>
  </w:docVars>
  <w:rsids>
    <w:rsidRoot w:val="00BA3D8F"/>
    <w:rsid w:val="00055EA1"/>
    <w:rsid w:val="00082EA1"/>
    <w:rsid w:val="000A0DD7"/>
    <w:rsid w:val="000A6308"/>
    <w:rsid w:val="000D4AFC"/>
    <w:rsid w:val="000F79E2"/>
    <w:rsid w:val="0010179F"/>
    <w:rsid w:val="00107403"/>
    <w:rsid w:val="00136EA0"/>
    <w:rsid w:val="00157110"/>
    <w:rsid w:val="00177B0B"/>
    <w:rsid w:val="001B5A70"/>
    <w:rsid w:val="001C2122"/>
    <w:rsid w:val="001D6109"/>
    <w:rsid w:val="00211B3C"/>
    <w:rsid w:val="00236D5F"/>
    <w:rsid w:val="002763D1"/>
    <w:rsid w:val="002B752D"/>
    <w:rsid w:val="002C068A"/>
    <w:rsid w:val="002D115B"/>
    <w:rsid w:val="002D788D"/>
    <w:rsid w:val="002E2A0E"/>
    <w:rsid w:val="0032479B"/>
    <w:rsid w:val="003303D6"/>
    <w:rsid w:val="003329EE"/>
    <w:rsid w:val="00344B5C"/>
    <w:rsid w:val="0038071D"/>
    <w:rsid w:val="003A3924"/>
    <w:rsid w:val="003B28E3"/>
    <w:rsid w:val="003C0479"/>
    <w:rsid w:val="003C5823"/>
    <w:rsid w:val="003E25A3"/>
    <w:rsid w:val="003E72FC"/>
    <w:rsid w:val="004333C2"/>
    <w:rsid w:val="004A0D9C"/>
    <w:rsid w:val="004A7BA7"/>
    <w:rsid w:val="00556A5B"/>
    <w:rsid w:val="0058001B"/>
    <w:rsid w:val="005C05F5"/>
    <w:rsid w:val="005D3082"/>
    <w:rsid w:val="005E3978"/>
    <w:rsid w:val="00606521"/>
    <w:rsid w:val="006132BD"/>
    <w:rsid w:val="00627127"/>
    <w:rsid w:val="0064768C"/>
    <w:rsid w:val="0066476A"/>
    <w:rsid w:val="006D70EB"/>
    <w:rsid w:val="006D7A62"/>
    <w:rsid w:val="006E6E07"/>
    <w:rsid w:val="00710EAF"/>
    <w:rsid w:val="007118F8"/>
    <w:rsid w:val="007357B3"/>
    <w:rsid w:val="00795630"/>
    <w:rsid w:val="00796C87"/>
    <w:rsid w:val="007B37AE"/>
    <w:rsid w:val="00814315"/>
    <w:rsid w:val="0083433C"/>
    <w:rsid w:val="00840062"/>
    <w:rsid w:val="00890636"/>
    <w:rsid w:val="00896172"/>
    <w:rsid w:val="00897A4D"/>
    <w:rsid w:val="008A3EC9"/>
    <w:rsid w:val="008B5197"/>
    <w:rsid w:val="008B7130"/>
    <w:rsid w:val="008C103E"/>
    <w:rsid w:val="008C601F"/>
    <w:rsid w:val="008D3E53"/>
    <w:rsid w:val="00900266"/>
    <w:rsid w:val="009401ED"/>
    <w:rsid w:val="00956140"/>
    <w:rsid w:val="00977C9F"/>
    <w:rsid w:val="0098384A"/>
    <w:rsid w:val="00986769"/>
    <w:rsid w:val="0099760D"/>
    <w:rsid w:val="009B10B3"/>
    <w:rsid w:val="009B6A01"/>
    <w:rsid w:val="00A12008"/>
    <w:rsid w:val="00A37D8F"/>
    <w:rsid w:val="00A440EF"/>
    <w:rsid w:val="00A56334"/>
    <w:rsid w:val="00A71E6D"/>
    <w:rsid w:val="00A742D2"/>
    <w:rsid w:val="00A80F1E"/>
    <w:rsid w:val="00A810AA"/>
    <w:rsid w:val="00AB716D"/>
    <w:rsid w:val="00B11627"/>
    <w:rsid w:val="00B15804"/>
    <w:rsid w:val="00B442E0"/>
    <w:rsid w:val="00B503C5"/>
    <w:rsid w:val="00B51492"/>
    <w:rsid w:val="00B61C7A"/>
    <w:rsid w:val="00BA3D8F"/>
    <w:rsid w:val="00BB1163"/>
    <w:rsid w:val="00BB1C91"/>
    <w:rsid w:val="00BB7F46"/>
    <w:rsid w:val="00BC2F16"/>
    <w:rsid w:val="00BC4109"/>
    <w:rsid w:val="00BC5B1F"/>
    <w:rsid w:val="00BF1039"/>
    <w:rsid w:val="00C11B62"/>
    <w:rsid w:val="00C306CD"/>
    <w:rsid w:val="00C45B23"/>
    <w:rsid w:val="00C4726C"/>
    <w:rsid w:val="00C6132C"/>
    <w:rsid w:val="00C94B7D"/>
    <w:rsid w:val="00CC071A"/>
    <w:rsid w:val="00CC405E"/>
    <w:rsid w:val="00CD391E"/>
    <w:rsid w:val="00D12A98"/>
    <w:rsid w:val="00D42F7D"/>
    <w:rsid w:val="00D53C74"/>
    <w:rsid w:val="00D573EC"/>
    <w:rsid w:val="00D66E51"/>
    <w:rsid w:val="00D86213"/>
    <w:rsid w:val="00D909B3"/>
    <w:rsid w:val="00E12CDA"/>
    <w:rsid w:val="00E2010B"/>
    <w:rsid w:val="00E3150A"/>
    <w:rsid w:val="00E42F61"/>
    <w:rsid w:val="00E9150D"/>
    <w:rsid w:val="00EB249D"/>
    <w:rsid w:val="00EB3F85"/>
    <w:rsid w:val="00EE027A"/>
    <w:rsid w:val="00F23C42"/>
    <w:rsid w:val="00F35B44"/>
    <w:rsid w:val="00F953C4"/>
    <w:rsid w:val="00FD25FB"/>
    <w:rsid w:val="00FD4D8A"/>
    <w:rsid w:val="00FE5B74"/>
    <w:rsid w:val="01DE37AA"/>
    <w:rsid w:val="01EB45BC"/>
    <w:rsid w:val="01F86CD9"/>
    <w:rsid w:val="02C10E79"/>
    <w:rsid w:val="03FD2384"/>
    <w:rsid w:val="04035DFD"/>
    <w:rsid w:val="0635660C"/>
    <w:rsid w:val="07AA637F"/>
    <w:rsid w:val="08406CE4"/>
    <w:rsid w:val="08C01BD2"/>
    <w:rsid w:val="08C77756"/>
    <w:rsid w:val="097C5849"/>
    <w:rsid w:val="0AD06781"/>
    <w:rsid w:val="0B316DB7"/>
    <w:rsid w:val="0BA85F1E"/>
    <w:rsid w:val="0C5B7F76"/>
    <w:rsid w:val="0CB47CA0"/>
    <w:rsid w:val="0D1C7D1F"/>
    <w:rsid w:val="0DAA7B40"/>
    <w:rsid w:val="0E2826F4"/>
    <w:rsid w:val="0F1217BA"/>
    <w:rsid w:val="0FF87EA4"/>
    <w:rsid w:val="119C54A9"/>
    <w:rsid w:val="119E1280"/>
    <w:rsid w:val="120D49C2"/>
    <w:rsid w:val="134F7505"/>
    <w:rsid w:val="13986B85"/>
    <w:rsid w:val="14A10B0A"/>
    <w:rsid w:val="152A4FA3"/>
    <w:rsid w:val="15DB629E"/>
    <w:rsid w:val="15F05B33"/>
    <w:rsid w:val="167C0BE2"/>
    <w:rsid w:val="195B1BCF"/>
    <w:rsid w:val="1A1D2521"/>
    <w:rsid w:val="1A6745A4"/>
    <w:rsid w:val="1A86686D"/>
    <w:rsid w:val="1AD31C39"/>
    <w:rsid w:val="1B2776DF"/>
    <w:rsid w:val="1BC273B6"/>
    <w:rsid w:val="1BE311F9"/>
    <w:rsid w:val="1CE1063D"/>
    <w:rsid w:val="1D4B742D"/>
    <w:rsid w:val="1E1B1F72"/>
    <w:rsid w:val="1FBF73B7"/>
    <w:rsid w:val="206155F1"/>
    <w:rsid w:val="20A025BE"/>
    <w:rsid w:val="232C412B"/>
    <w:rsid w:val="23FF2A30"/>
    <w:rsid w:val="25545725"/>
    <w:rsid w:val="27383550"/>
    <w:rsid w:val="273C1081"/>
    <w:rsid w:val="278B5DCA"/>
    <w:rsid w:val="27F653E6"/>
    <w:rsid w:val="299F1B06"/>
    <w:rsid w:val="2B05452A"/>
    <w:rsid w:val="2C0735A1"/>
    <w:rsid w:val="2C43682A"/>
    <w:rsid w:val="2CF45F0C"/>
    <w:rsid w:val="2D56639F"/>
    <w:rsid w:val="2D652E73"/>
    <w:rsid w:val="2F723DC8"/>
    <w:rsid w:val="2FCF1A37"/>
    <w:rsid w:val="300F0BC6"/>
    <w:rsid w:val="305F7D9F"/>
    <w:rsid w:val="30B55C11"/>
    <w:rsid w:val="30D50061"/>
    <w:rsid w:val="30EB518F"/>
    <w:rsid w:val="319F2004"/>
    <w:rsid w:val="31FA75D2"/>
    <w:rsid w:val="321E3342"/>
    <w:rsid w:val="322A4FD5"/>
    <w:rsid w:val="335E1849"/>
    <w:rsid w:val="35E84D19"/>
    <w:rsid w:val="36767D98"/>
    <w:rsid w:val="368E4F3A"/>
    <w:rsid w:val="36A4475E"/>
    <w:rsid w:val="381274A5"/>
    <w:rsid w:val="385950D4"/>
    <w:rsid w:val="38A30226"/>
    <w:rsid w:val="3B2B52D8"/>
    <w:rsid w:val="3C6F3118"/>
    <w:rsid w:val="3D0C0967"/>
    <w:rsid w:val="3E750FAD"/>
    <w:rsid w:val="40174484"/>
    <w:rsid w:val="409854E8"/>
    <w:rsid w:val="41A44569"/>
    <w:rsid w:val="43A833B4"/>
    <w:rsid w:val="43AC3125"/>
    <w:rsid w:val="44280E66"/>
    <w:rsid w:val="444334A1"/>
    <w:rsid w:val="445240D5"/>
    <w:rsid w:val="458B0897"/>
    <w:rsid w:val="45A55DFD"/>
    <w:rsid w:val="45FF141E"/>
    <w:rsid w:val="463E3B5B"/>
    <w:rsid w:val="46647A66"/>
    <w:rsid w:val="471A0124"/>
    <w:rsid w:val="47E9635E"/>
    <w:rsid w:val="48284AC3"/>
    <w:rsid w:val="484511D1"/>
    <w:rsid w:val="4AAE12AF"/>
    <w:rsid w:val="4B7A73E4"/>
    <w:rsid w:val="4C4820FD"/>
    <w:rsid w:val="4C982217"/>
    <w:rsid w:val="4D2D046E"/>
    <w:rsid w:val="4D693BB4"/>
    <w:rsid w:val="4E7C3473"/>
    <w:rsid w:val="4F076845"/>
    <w:rsid w:val="4F0F0B84"/>
    <w:rsid w:val="4F1E46E2"/>
    <w:rsid w:val="505C786C"/>
    <w:rsid w:val="51383FC9"/>
    <w:rsid w:val="518E5997"/>
    <w:rsid w:val="52341D77"/>
    <w:rsid w:val="53F65A75"/>
    <w:rsid w:val="54D45DB6"/>
    <w:rsid w:val="55A94C63"/>
    <w:rsid w:val="56262642"/>
    <w:rsid w:val="56D6509B"/>
    <w:rsid w:val="573214BA"/>
    <w:rsid w:val="57530F23"/>
    <w:rsid w:val="58690F0C"/>
    <w:rsid w:val="592B4413"/>
    <w:rsid w:val="5B022F52"/>
    <w:rsid w:val="5C2313D1"/>
    <w:rsid w:val="5C4E46A0"/>
    <w:rsid w:val="5D8407DF"/>
    <w:rsid w:val="5E457D25"/>
    <w:rsid w:val="5EF37781"/>
    <w:rsid w:val="5F1542AB"/>
    <w:rsid w:val="60CF38D6"/>
    <w:rsid w:val="621517BC"/>
    <w:rsid w:val="62DB2A06"/>
    <w:rsid w:val="632D30FF"/>
    <w:rsid w:val="63D47B81"/>
    <w:rsid w:val="646709F5"/>
    <w:rsid w:val="65202952"/>
    <w:rsid w:val="65AB66C0"/>
    <w:rsid w:val="6733652D"/>
    <w:rsid w:val="68CA77A4"/>
    <w:rsid w:val="6AC73432"/>
    <w:rsid w:val="6AD70B5B"/>
    <w:rsid w:val="6C6B1A93"/>
    <w:rsid w:val="6DA93F9B"/>
    <w:rsid w:val="6DD85C33"/>
    <w:rsid w:val="6E0A3248"/>
    <w:rsid w:val="6E3B07FD"/>
    <w:rsid w:val="6EFA0E8C"/>
    <w:rsid w:val="70A72179"/>
    <w:rsid w:val="71721018"/>
    <w:rsid w:val="71B57E05"/>
    <w:rsid w:val="72AA0DA6"/>
    <w:rsid w:val="743B1556"/>
    <w:rsid w:val="7577036C"/>
    <w:rsid w:val="75DC4673"/>
    <w:rsid w:val="76C715CD"/>
    <w:rsid w:val="777F711E"/>
    <w:rsid w:val="77AC6C64"/>
    <w:rsid w:val="78CF6711"/>
    <w:rsid w:val="7C4D0079"/>
    <w:rsid w:val="7C681999"/>
    <w:rsid w:val="7C8F0691"/>
    <w:rsid w:val="7CD0646D"/>
    <w:rsid w:val="7D863054"/>
    <w:rsid w:val="7DB11D69"/>
    <w:rsid w:val="7E6122B9"/>
    <w:rsid w:val="7E8B30DA"/>
    <w:rsid w:val="7EC60F63"/>
    <w:rsid w:val="7EDA1D53"/>
    <w:rsid w:val="7F1E7A87"/>
    <w:rsid w:val="7F90162A"/>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rPr>
      <w:szCs w:val="24"/>
    </w:rPr>
  </w:style>
  <w:style w:type="paragraph" w:styleId="4">
    <w:name w:val="annotation text"/>
    <w:basedOn w:val="1"/>
    <w:link w:val="20"/>
    <w:qFormat/>
    <w:uiPriority w:val="0"/>
    <w:pPr>
      <w:jc w:val="left"/>
    </w:pPr>
  </w:style>
  <w:style w:type="paragraph" w:styleId="5">
    <w:name w:val="Body Text"/>
    <w:basedOn w:val="1"/>
    <w:next w:val="6"/>
    <w:autoRedefine/>
    <w:unhideWhenUsed/>
    <w:qFormat/>
    <w:uiPriority w:val="99"/>
    <w:pPr>
      <w:spacing w:after="120"/>
    </w:pPr>
  </w:style>
  <w:style w:type="paragraph" w:styleId="6">
    <w:name w:val="Balloon Text"/>
    <w:basedOn w:val="1"/>
    <w:semiHidden/>
    <w:qFormat/>
    <w:uiPriority w:val="99"/>
    <w:rPr>
      <w:kern w:val="0"/>
      <w:sz w:val="18"/>
      <w:szCs w:val="18"/>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4"/>
    <w:next w:val="4"/>
    <w:link w:val="21"/>
    <w:autoRedefine/>
    <w:qFormat/>
    <w:uiPriority w:val="0"/>
    <w:rPr>
      <w:b/>
      <w:bCs/>
    </w:rPr>
  </w:style>
  <w:style w:type="table" w:styleId="12">
    <w:name w:val="Table Grid"/>
    <w:basedOn w:val="11"/>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autoRedefine/>
    <w:qFormat/>
    <w:uiPriority w:val="0"/>
    <w:rPr>
      <w:sz w:val="21"/>
      <w:szCs w:val="21"/>
    </w:rPr>
  </w:style>
  <w:style w:type="paragraph" w:styleId="16">
    <w:name w:val="List Paragraph"/>
    <w:basedOn w:val="1"/>
    <w:autoRedefine/>
    <w:qFormat/>
    <w:uiPriority w:val="34"/>
    <w:pPr>
      <w:ind w:firstLine="420" w:firstLineChars="200"/>
    </w:pPr>
  </w:style>
  <w:style w:type="character" w:customStyle="1" w:styleId="17">
    <w:name w:val="标题 1 字符"/>
    <w:basedOn w:val="13"/>
    <w:link w:val="3"/>
    <w:qFormat/>
    <w:uiPriority w:val="9"/>
    <w:rPr>
      <w:rFonts w:ascii="Times New Roman" w:hAnsi="Times New Roman" w:eastAsia="宋体" w:cs="Times New Roman"/>
      <w:b/>
      <w:bCs/>
      <w:kern w:val="44"/>
      <w:sz w:val="44"/>
      <w:szCs w:val="44"/>
    </w:rPr>
  </w:style>
  <w:style w:type="table" w:customStyle="1" w:styleId="18">
    <w:name w:val="无格式表格 11"/>
    <w:basedOn w:val="11"/>
    <w:autoRedefine/>
    <w:qFormat/>
    <w:uiPriority w:val="41"/>
    <w:rPr>
      <w:kern w:val="2"/>
      <w:sz w:val="21"/>
      <w:szCs w:val="24"/>
      <w14:ligatures w14:val="standardContextual"/>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0">
    <w:name w:val="批注文字 字符"/>
    <w:basedOn w:val="13"/>
    <w:link w:val="4"/>
    <w:autoRedefine/>
    <w:qFormat/>
    <w:uiPriority w:val="0"/>
    <w:rPr>
      <w:rFonts w:ascii="Times New Roman" w:hAnsi="Times New Roman" w:eastAsia="宋体" w:cs="Times New Roman"/>
      <w:kern w:val="2"/>
      <w:sz w:val="21"/>
      <w:szCs w:val="21"/>
    </w:rPr>
  </w:style>
  <w:style w:type="character" w:customStyle="1" w:styleId="21">
    <w:name w:val="批注主题 字符"/>
    <w:basedOn w:val="20"/>
    <w:link w:val="10"/>
    <w:qFormat/>
    <w:uiPriority w:val="0"/>
    <w:rPr>
      <w:rFonts w:ascii="Times New Roman" w:hAnsi="Times New Roman" w:eastAsia="宋体" w:cs="Times New Roman"/>
      <w:b/>
      <w:bCs/>
      <w:kern w:val="2"/>
      <w:sz w:val="21"/>
      <w:szCs w:val="21"/>
    </w:rPr>
  </w:style>
  <w:style w:type="character" w:customStyle="1" w:styleId="22">
    <w:name w:val="页眉 字符"/>
    <w:basedOn w:val="13"/>
    <w:link w:val="8"/>
    <w:qFormat/>
    <w:uiPriority w:val="0"/>
    <w:rPr>
      <w:kern w:val="2"/>
      <w:sz w:val="18"/>
      <w:szCs w:val="18"/>
    </w:rPr>
  </w:style>
  <w:style w:type="character" w:customStyle="1" w:styleId="23">
    <w:name w:val="页脚 字符"/>
    <w:basedOn w:val="13"/>
    <w:link w:val="7"/>
    <w:autoRedefine/>
    <w:qFormat/>
    <w:uiPriority w:val="0"/>
    <w:rPr>
      <w:kern w:val="2"/>
      <w:sz w:val="18"/>
      <w:szCs w:val="18"/>
    </w:rPr>
  </w:style>
  <w:style w:type="paragraph" w:customStyle="1" w:styleId="24">
    <w:name w:val="修订1"/>
    <w:autoRedefine/>
    <w:hidden/>
    <w:unhideWhenUsed/>
    <w:qFormat/>
    <w:uiPriority w:val="99"/>
    <w:rPr>
      <w:rFonts w:ascii="Times New Roman" w:hAnsi="Times New Roman" w:eastAsia="宋体" w:cs="Times New Roman"/>
      <w:kern w:val="2"/>
      <w:sz w:val="21"/>
      <w:szCs w:val="21"/>
      <w:lang w:val="en-US" w:eastAsia="zh-CN" w:bidi="ar-SA"/>
    </w:rPr>
  </w:style>
  <w:style w:type="paragraph" w:customStyle="1" w:styleId="25">
    <w:name w:val="Revision"/>
    <w:autoRedefine/>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9590</Words>
  <Characters>10287</Characters>
  <Lines>75</Lines>
  <Paragraphs>21</Paragraphs>
  <TotalTime>0</TotalTime>
  <ScaleCrop>false</ScaleCrop>
  <LinksUpToDate>false</LinksUpToDate>
  <CharactersWithSpaces>10366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2025-09-24T00:00:00Z</dcterms:created>
  <dc:creator>lenovo</dc:creator>
  <cp:lastModifiedBy>Star</cp:lastModifiedBy>
  <cp:lastPrinted>2025-09-24T07:58:00Z</cp:lastPrinted>
  <dcterms:modified xsi:type="dcterms:W3CDTF">2025-09-25T07:55:32Z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B23FDCE46C634F588300D6AEF2784626_13</vt:lpwstr>
  </property>
  <property fmtid="{D5CDD505-2E9C-101B-9397-08002B2CF9AE}" pid="4" name="KSOTemplateDocerSaveRecord">
    <vt:lpwstr>eyJoZGlkIjoiNTk0YmQ0NzRjNDE0ZDk4YTljNDg1NmUxZTFkMmUxNDIiLCJ1c2VySWQiOiI0MDYzNTk3MjYifQ==</vt:lpwstr>
  </property>
</Properties>
</file>