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FDCF6">
      <w:pPr>
        <w:autoSpaceDE/>
        <w:autoSpaceDN/>
        <w:spacing w:line="400" w:lineRule="exact"/>
        <w:jc w:val="both"/>
        <w:rPr>
          <w:rStyle w:val="9"/>
          <w:b w:val="0"/>
          <w:bCs/>
          <w:color w:val="333333"/>
          <w:sz w:val="30"/>
          <w:szCs w:val="30"/>
          <w:highlight w:val="none"/>
          <w:u w:val="none"/>
        </w:rPr>
      </w:pPr>
      <w:r>
        <w:rPr>
          <w:rStyle w:val="9"/>
          <w:rFonts w:hint="eastAsia"/>
          <w:b w:val="0"/>
          <w:bCs/>
          <w:color w:val="333333"/>
          <w:sz w:val="30"/>
          <w:szCs w:val="30"/>
          <w:highlight w:val="none"/>
          <w:u w:val="none"/>
        </w:rPr>
        <w:t>附件</w:t>
      </w:r>
      <w:r>
        <w:rPr>
          <w:rStyle w:val="9"/>
          <w:rFonts w:hint="eastAsia"/>
          <w:b w:val="0"/>
          <w:bCs/>
          <w:color w:val="333333"/>
          <w:sz w:val="30"/>
          <w:szCs w:val="30"/>
          <w:highlight w:val="none"/>
          <w:u w:val="none"/>
          <w:lang w:val="en-US"/>
        </w:rPr>
        <w:t>5：</w:t>
      </w:r>
    </w:p>
    <w:p w14:paraId="0AB17FEB">
      <w:pPr>
        <w:jc w:val="center"/>
        <w:rPr>
          <w:rStyle w:val="9"/>
          <w:rFonts w:ascii="黑体" w:hAnsi="黑体" w:eastAsia="黑体" w:cs="黑体"/>
          <w:b w:val="0"/>
          <w:bCs/>
          <w:color w:val="333333"/>
          <w:sz w:val="32"/>
          <w:szCs w:val="32"/>
          <w:highlight w:val="none"/>
          <w:u w:val="none"/>
        </w:rPr>
      </w:pPr>
      <w:r>
        <w:rPr>
          <w:rStyle w:val="9"/>
          <w:rFonts w:hint="eastAsia" w:ascii="黑体" w:hAnsi="黑体" w:eastAsia="黑体" w:cs="黑体"/>
          <w:b w:val="0"/>
          <w:bCs/>
          <w:color w:val="333333"/>
          <w:sz w:val="32"/>
          <w:szCs w:val="32"/>
          <w:highlight w:val="none"/>
          <w:u w:val="none"/>
        </w:rPr>
        <w:t>安徽商贸职业技术学院辅导员约束性考核指标考评表</w:t>
      </w:r>
    </w:p>
    <w:p w14:paraId="5F20911D">
      <w:pPr>
        <w:spacing w:line="440" w:lineRule="exact"/>
        <w:jc w:val="center"/>
        <w:rPr>
          <w:rStyle w:val="9"/>
          <w:rFonts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</w:pPr>
      <w:r>
        <w:rPr>
          <w:rStyle w:val="9"/>
          <w:rFonts w:hint="eastAsia"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  <w:t>（20   年度）</w:t>
      </w:r>
    </w:p>
    <w:p w14:paraId="26CAD414">
      <w:pPr>
        <w:spacing w:line="440" w:lineRule="exact"/>
        <w:jc w:val="center"/>
        <w:rPr>
          <w:rStyle w:val="9"/>
          <w:rFonts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</w:pPr>
    </w:p>
    <w:p w14:paraId="2685C549">
      <w:pPr>
        <w:pStyle w:val="3"/>
        <w:rPr>
          <w:rFonts w:hAnsi="宋体"/>
          <w:b w:val="0"/>
          <w:bCs/>
          <w:sz w:val="24"/>
          <w:szCs w:val="24"/>
          <w:highlight w:val="none"/>
          <w:u w:val="none"/>
        </w:rPr>
      </w:pP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所在二级学院         辅导员姓名            日期：   年   月   日  </w:t>
      </w:r>
    </w:p>
    <w:p w14:paraId="52A31896">
      <w:pPr>
        <w:pStyle w:val="3"/>
        <w:rPr>
          <w:rFonts w:hAnsi="宋体"/>
          <w:b w:val="0"/>
          <w:bCs/>
          <w:sz w:val="24"/>
          <w:szCs w:val="24"/>
          <w:highlight w:val="none"/>
          <w:u w:val="none"/>
        </w:rPr>
      </w:pPr>
    </w:p>
    <w:tbl>
      <w:tblPr>
        <w:tblStyle w:val="6"/>
        <w:tblW w:w="1043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780"/>
        <w:gridCol w:w="6680"/>
        <w:gridCol w:w="718"/>
      </w:tblGrid>
      <w:tr w14:paraId="23923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restart"/>
            <w:vAlign w:val="center"/>
          </w:tcPr>
          <w:p w14:paraId="31ADB1ED">
            <w:pPr>
              <w:jc w:val="center"/>
              <w:rPr>
                <w:rFonts w:cs="Times New Roman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约束性扣分项（不设下限</w:t>
            </w:r>
            <w:r>
              <w:rPr>
                <w:rFonts w:hint="eastAsia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）</w:t>
            </w:r>
          </w:p>
        </w:tc>
        <w:tc>
          <w:tcPr>
            <w:tcW w:w="1780" w:type="dxa"/>
            <w:vAlign w:val="center"/>
          </w:tcPr>
          <w:p w14:paraId="3A4ADEFF">
            <w:pPr>
              <w:jc w:val="center"/>
              <w:rPr>
                <w:rStyle w:val="9"/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二级指标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 w14:paraId="200AA3AA">
            <w:pPr>
              <w:wordWrap w:val="0"/>
              <w:jc w:val="center"/>
              <w:textAlignment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三级指标</w:t>
            </w:r>
          </w:p>
        </w:tc>
        <w:tc>
          <w:tcPr>
            <w:tcW w:w="718" w:type="dxa"/>
            <w:vAlign w:val="center"/>
          </w:tcPr>
          <w:p w14:paraId="322B75FD">
            <w:pPr>
              <w:wordWrap w:val="0"/>
              <w:jc w:val="center"/>
              <w:textAlignment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扣分</w:t>
            </w:r>
          </w:p>
        </w:tc>
      </w:tr>
      <w:tr w14:paraId="3EAB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60" w:type="dxa"/>
            <w:vMerge w:val="continue"/>
          </w:tcPr>
          <w:p w14:paraId="05867D57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Align w:val="center"/>
          </w:tcPr>
          <w:p w14:paraId="6D38AAD7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政治立场</w:t>
            </w:r>
          </w:p>
        </w:tc>
        <w:tc>
          <w:tcPr>
            <w:tcW w:w="6680" w:type="dxa"/>
            <w:vAlign w:val="center"/>
          </w:tcPr>
          <w:p w14:paraId="3723E529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经认定在事关政治原则、政治立场和政治方向问题上不能与党中央保持高度一致，直接认定为“不合格”等级。</w:t>
            </w:r>
          </w:p>
        </w:tc>
        <w:tc>
          <w:tcPr>
            <w:tcW w:w="718" w:type="dxa"/>
            <w:vAlign w:val="center"/>
          </w:tcPr>
          <w:p w14:paraId="4A80E1B0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2A16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60" w:type="dxa"/>
            <w:vMerge w:val="continue"/>
          </w:tcPr>
          <w:p w14:paraId="35EF6CBA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Merge w:val="restart"/>
            <w:vAlign w:val="center"/>
          </w:tcPr>
          <w:p w14:paraId="3D8B0845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个人因素</w:t>
            </w:r>
          </w:p>
        </w:tc>
        <w:tc>
          <w:tcPr>
            <w:tcW w:w="6680" w:type="dxa"/>
            <w:vAlign w:val="center"/>
          </w:tcPr>
          <w:p w14:paraId="30C335C9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经认定因个人工作不力而直接造成重大事故，产生严重不良后果，直接认定为“不合格”等级。</w:t>
            </w:r>
          </w:p>
        </w:tc>
        <w:tc>
          <w:tcPr>
            <w:tcW w:w="718" w:type="dxa"/>
            <w:vAlign w:val="center"/>
          </w:tcPr>
          <w:p w14:paraId="09F4124A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004E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60" w:type="dxa"/>
            <w:vMerge w:val="continue"/>
          </w:tcPr>
          <w:p w14:paraId="14FF4EA3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Merge w:val="continue"/>
            <w:vAlign w:val="center"/>
          </w:tcPr>
          <w:p w14:paraId="05A3A7D3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680" w:type="dxa"/>
            <w:vAlign w:val="center"/>
          </w:tcPr>
          <w:p w14:paraId="22436CA0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经认定考核过程中有舞弊行为的或考核年度期间受到处分的，直接认定为“不合格”等级。</w:t>
            </w:r>
          </w:p>
        </w:tc>
        <w:tc>
          <w:tcPr>
            <w:tcW w:w="718" w:type="dxa"/>
            <w:vAlign w:val="center"/>
          </w:tcPr>
          <w:p w14:paraId="4E3BF69B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3FA6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60" w:type="dxa"/>
            <w:vMerge w:val="continue"/>
          </w:tcPr>
          <w:p w14:paraId="47AF6347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Merge w:val="continue"/>
            <w:vAlign w:val="center"/>
          </w:tcPr>
          <w:p w14:paraId="5E411A8E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680" w:type="dxa"/>
            <w:vAlign w:val="center"/>
          </w:tcPr>
          <w:p w14:paraId="65527A83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因论文、著作或科研成果剽窃、抄袭等学术不端问题被通报，直接认定为“不合格”等级。</w:t>
            </w:r>
          </w:p>
        </w:tc>
        <w:tc>
          <w:tcPr>
            <w:tcW w:w="718" w:type="dxa"/>
            <w:vAlign w:val="center"/>
          </w:tcPr>
          <w:p w14:paraId="4E1244C5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72062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60" w:type="dxa"/>
            <w:vMerge w:val="continue"/>
          </w:tcPr>
          <w:p w14:paraId="41E5C89E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Merge w:val="restart"/>
            <w:vAlign w:val="center"/>
          </w:tcPr>
          <w:p w14:paraId="64CAB787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学生违纪受处分率</w:t>
            </w:r>
          </w:p>
        </w:tc>
        <w:tc>
          <w:tcPr>
            <w:tcW w:w="6680" w:type="dxa"/>
            <w:vAlign w:val="center"/>
          </w:tcPr>
          <w:p w14:paraId="4EC33906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所带学生受记过及以上违纪处分率超过1%，扣2分。</w:t>
            </w:r>
          </w:p>
        </w:tc>
        <w:tc>
          <w:tcPr>
            <w:tcW w:w="718" w:type="dxa"/>
            <w:vAlign w:val="center"/>
          </w:tcPr>
          <w:p w14:paraId="7D77B873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7554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0" w:type="dxa"/>
            <w:vMerge w:val="continue"/>
          </w:tcPr>
          <w:p w14:paraId="53073C4C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Merge w:val="continue"/>
            <w:vAlign w:val="center"/>
          </w:tcPr>
          <w:p w14:paraId="6BC785DD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680" w:type="dxa"/>
            <w:vAlign w:val="center"/>
          </w:tcPr>
          <w:p w14:paraId="70841CE9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所带学生受记过及以上违纪处分率超过2%，扣3分。</w:t>
            </w:r>
          </w:p>
        </w:tc>
        <w:tc>
          <w:tcPr>
            <w:tcW w:w="718" w:type="dxa"/>
            <w:vAlign w:val="center"/>
          </w:tcPr>
          <w:p w14:paraId="4966D3A0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727F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60" w:type="dxa"/>
            <w:vMerge w:val="continue"/>
          </w:tcPr>
          <w:p w14:paraId="7CB8AF52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80" w:type="dxa"/>
            <w:vAlign w:val="center"/>
          </w:tcPr>
          <w:p w14:paraId="35FCCD64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非正常死亡事故、群体性事件、网络不良事件、心理危机事件等重大责任事故</w:t>
            </w:r>
          </w:p>
        </w:tc>
        <w:tc>
          <w:tcPr>
            <w:tcW w:w="6680" w:type="dxa"/>
            <w:vAlign w:val="center"/>
          </w:tcPr>
          <w:p w14:paraId="4B200301">
            <w:pPr>
              <w:rPr>
                <w:rStyle w:val="9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虽非个人工作不力，但所带学生发生非正常死亡事故、大规模群体性事件或网络影响不良事件、因心理问题导致的重大事故等，每发生1人次，扣</w:t>
            </w: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10</w:t>
            </w:r>
            <w:r>
              <w:rPr>
                <w:rStyle w:val="9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分。</w:t>
            </w:r>
          </w:p>
        </w:tc>
        <w:tc>
          <w:tcPr>
            <w:tcW w:w="718" w:type="dxa"/>
            <w:vAlign w:val="center"/>
          </w:tcPr>
          <w:p w14:paraId="385E9355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015B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720" w:type="dxa"/>
            <w:gridSpan w:val="3"/>
            <w:vAlign w:val="center"/>
          </w:tcPr>
          <w:p w14:paraId="07E96D36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32"/>
                <w:szCs w:val="32"/>
                <w:highlight w:val="none"/>
                <w:u w:val="none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总 分</w:t>
            </w:r>
          </w:p>
        </w:tc>
        <w:tc>
          <w:tcPr>
            <w:tcW w:w="718" w:type="dxa"/>
            <w:vAlign w:val="center"/>
          </w:tcPr>
          <w:p w14:paraId="1F240703">
            <w:pPr>
              <w:jc w:val="center"/>
              <w:rPr>
                <w:rStyle w:val="9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61BF3B68">
      <w:pPr>
        <w:adjustRightInd w:val="0"/>
        <w:snapToGrid w:val="0"/>
        <w:spacing w:line="360" w:lineRule="auto"/>
        <w:rPr>
          <w:rStyle w:val="9"/>
          <w:b w:val="0"/>
          <w:bCs/>
          <w:sz w:val="24"/>
          <w:szCs w:val="24"/>
          <w:highlight w:val="none"/>
          <w:u w:val="none"/>
        </w:rPr>
      </w:pPr>
    </w:p>
    <w:p w14:paraId="12A54F08">
      <w:pPr>
        <w:pStyle w:val="2"/>
        <w:spacing w:before="6" w:line="388" w:lineRule="auto"/>
        <w:ind w:left="137" w:right="252" w:firstLine="684"/>
        <w:jc w:val="both"/>
        <w:rPr>
          <w:rFonts w:ascii="黑体" w:eastAsia="黑体"/>
          <w:b w:val="0"/>
          <w:bCs/>
          <w:color w:val="333333"/>
          <w:spacing w:val="-1"/>
          <w:highlight w:val="none"/>
          <w:u w:val="none"/>
        </w:rPr>
      </w:pPr>
    </w:p>
    <w:p w14:paraId="4EF99712"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005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6D807879"/>
    <w:rsid w:val="1EF501D6"/>
    <w:rsid w:val="2CDA38A5"/>
    <w:rsid w:val="6D807879"/>
    <w:rsid w:val="6F715165"/>
    <w:rsid w:val="7665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0"/>
      <w:szCs w:val="3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 w:line="360" w:lineRule="auto"/>
    </w:pPr>
    <w:rPr>
      <w:rFonts w:ascii="宋体" w:hAnsi="宋体" w:cs="宋体"/>
      <w:sz w:val="24"/>
      <w:szCs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2024-07-23T05:56:00Z</dcterms:created>
  <dc:creator>杨楠</dc:creator>
  <cp:lastModifiedBy>杨楠</cp:lastModifiedBy>
  <dcterms:modified xsi:type="dcterms:W3CDTF">2024-07-23T05:59:39Z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59D12722CE5745989CDE82EE05DF129D_13</vt:lpwstr>
  </property>
</Properties>
</file>