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FFCA5">
      <w:pPr>
        <w:pStyle w:val="4"/>
        <w:shd w:val="clear" w:color="auto" w:fill="FFFFFF"/>
        <w:spacing w:before="159" w:beforeLines="50" w:beforeAutospacing="0" w:after="0" w:afterAutospacing="0" w:line="300" w:lineRule="exact"/>
        <w:jc w:val="both"/>
        <w:rPr>
          <w:rStyle w:val="7"/>
          <w:rFonts w:ascii="仿宋" w:hAnsi="仿宋" w:cs="仿宋"/>
          <w:b w:val="0"/>
          <w:bCs/>
          <w:color w:val="333333"/>
          <w:sz w:val="30"/>
          <w:szCs w:val="30"/>
          <w:highlight w:val="none"/>
          <w:u w:val="none"/>
          <w:lang w:val="en-US"/>
        </w:rPr>
      </w:pPr>
      <w:r>
        <w:rPr>
          <w:rStyle w:val="7"/>
          <w:rFonts w:hint="eastAsia" w:ascii="仿宋" w:hAnsi="仿宋" w:cs="仿宋"/>
          <w:b w:val="0"/>
          <w:bCs/>
          <w:color w:val="333333"/>
          <w:sz w:val="30"/>
          <w:szCs w:val="30"/>
          <w:highlight w:val="none"/>
          <w:u w:val="none"/>
        </w:rPr>
        <w:t>附件</w:t>
      </w:r>
      <w:r>
        <w:rPr>
          <w:rStyle w:val="7"/>
          <w:rFonts w:hint="eastAsia" w:ascii="仿宋" w:hAnsi="仿宋" w:cs="仿宋"/>
          <w:b w:val="0"/>
          <w:bCs/>
          <w:color w:val="333333"/>
          <w:sz w:val="30"/>
          <w:szCs w:val="30"/>
          <w:highlight w:val="none"/>
          <w:u w:val="none"/>
          <w:lang w:val="en-US"/>
        </w:rPr>
        <w:t>2：</w:t>
      </w:r>
    </w:p>
    <w:p w14:paraId="45B7FDEE">
      <w:pPr>
        <w:pStyle w:val="4"/>
        <w:shd w:val="clear" w:color="auto" w:fill="FFFFFF"/>
        <w:spacing w:before="159" w:beforeLines="50" w:beforeAutospacing="0" w:after="0" w:afterAutospacing="0" w:line="300" w:lineRule="exact"/>
        <w:ind w:firstLine="280" w:firstLineChars="100"/>
        <w:jc w:val="center"/>
        <w:rPr>
          <w:rStyle w:val="7"/>
          <w:rFonts w:ascii="仿宋" w:hAnsi="仿宋" w:cs="仿宋"/>
          <w:b w:val="0"/>
          <w:bCs/>
          <w:color w:val="333333"/>
          <w:sz w:val="30"/>
          <w:szCs w:val="30"/>
          <w:highlight w:val="none"/>
          <w:u w:val="none"/>
          <w:lang w:val="en-US"/>
        </w:rPr>
      </w:pPr>
      <w:r>
        <w:rPr>
          <w:rStyle w:val="7"/>
          <w:rFonts w:hint="eastAsia" w:ascii="黑体" w:hAnsi="黑体" w:eastAsia="黑体" w:cs="黑体"/>
          <w:b w:val="0"/>
          <w:bCs/>
          <w:color w:val="333333"/>
          <w:sz w:val="28"/>
          <w:szCs w:val="28"/>
          <w:highlight w:val="none"/>
          <w:u w:val="none"/>
        </w:rPr>
        <w:t>安徽商贸职业技术学院辅导员考核测评表（所在二级学院用表）</w:t>
      </w:r>
    </w:p>
    <w:p w14:paraId="4A342FF0">
      <w:pPr>
        <w:pStyle w:val="4"/>
        <w:shd w:val="clear" w:color="auto" w:fill="FFFFFF"/>
        <w:spacing w:before="159" w:beforeLines="50" w:beforeAutospacing="0" w:after="0" w:afterAutospacing="0" w:line="300" w:lineRule="exact"/>
        <w:rPr>
          <w:rStyle w:val="7"/>
          <w:rFonts w:ascii="黑体" w:hAnsi="黑体" w:cs="黑体"/>
          <w:b w:val="0"/>
          <w:bCs/>
          <w:color w:val="333333"/>
          <w:sz w:val="30"/>
          <w:szCs w:val="30"/>
          <w:highlight w:val="none"/>
          <w:u w:val="none"/>
          <w:lang w:val="en-US"/>
        </w:rPr>
      </w:pPr>
      <w:r>
        <w:rPr>
          <w:rFonts w:hint="eastAsia"/>
          <w:b w:val="0"/>
          <w:bCs/>
          <w:highlight w:val="none"/>
          <w:u w:val="none"/>
        </w:rPr>
        <w:t xml:space="preserve">所在二级学院           辅导员姓名            日期：   年   月 </w:t>
      </w:r>
      <w:r>
        <w:rPr>
          <w:rFonts w:hint="eastAsia"/>
          <w:b w:val="0"/>
          <w:bCs/>
          <w:highlight w:val="none"/>
          <w:u w:val="none"/>
          <w:lang w:val="en-US"/>
        </w:rPr>
        <w:t xml:space="preserve"> 日</w:t>
      </w:r>
    </w:p>
    <w:tbl>
      <w:tblPr>
        <w:tblStyle w:val="5"/>
        <w:tblW w:w="9781" w:type="dxa"/>
        <w:tblInd w:w="-5" w:type="dxa"/>
        <w:tblLayout w:type="fixed"/>
        <w:tblCellMar>
          <w:top w:w="0" w:type="dxa"/>
          <w:left w:w="0" w:type="dxa"/>
          <w:bottom w:w="0" w:type="dxa"/>
          <w:right w:w="0" w:type="dxa"/>
        </w:tblCellMar>
      </w:tblPr>
      <w:tblGrid>
        <w:gridCol w:w="1367"/>
        <w:gridCol w:w="1888"/>
        <w:gridCol w:w="5828"/>
        <w:gridCol w:w="698"/>
      </w:tblGrid>
      <w:tr w14:paraId="6B528985">
        <w:tblPrEx>
          <w:tblCellMar>
            <w:top w:w="0" w:type="dxa"/>
            <w:left w:w="0" w:type="dxa"/>
            <w:bottom w:w="0" w:type="dxa"/>
            <w:right w:w="0" w:type="dxa"/>
          </w:tblCellMar>
        </w:tblPrEx>
        <w:trPr>
          <w:trHeight w:val="463" w:hRule="atLeast"/>
        </w:trPr>
        <w:tc>
          <w:tcPr>
            <w:tcW w:w="136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980C668">
            <w:pPr>
              <w:wordWrap w:val="0"/>
              <w:spacing w:line="260" w:lineRule="exact"/>
              <w:jc w:val="center"/>
              <w:textAlignment w:val="center"/>
              <w:rPr>
                <w:rFonts w:ascii="黑体" w:hAnsi="黑体" w:eastAsia="黑体" w:cs="黑体"/>
                <w:b w:val="0"/>
                <w:bCs/>
                <w:color w:val="555555"/>
                <w:sz w:val="24"/>
                <w:szCs w:val="24"/>
                <w:highlight w:val="none"/>
                <w:u w:val="none"/>
              </w:rPr>
            </w:pPr>
            <w:r>
              <w:rPr>
                <w:rFonts w:hint="eastAsia" w:ascii="黑体" w:hAnsi="黑体" w:eastAsia="黑体" w:cs="黑体"/>
                <w:b w:val="0"/>
                <w:bCs/>
                <w:color w:val="555555"/>
                <w:sz w:val="24"/>
                <w:szCs w:val="24"/>
                <w:highlight w:val="none"/>
                <w:u w:val="none"/>
              </w:rPr>
              <w:t>一级指标</w:t>
            </w: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6810B5B">
            <w:pPr>
              <w:wordWrap w:val="0"/>
              <w:spacing w:line="260" w:lineRule="exact"/>
              <w:jc w:val="center"/>
              <w:textAlignment w:val="center"/>
              <w:rPr>
                <w:rFonts w:ascii="黑体" w:hAnsi="黑体" w:eastAsia="黑体" w:cs="黑体"/>
                <w:b w:val="0"/>
                <w:bCs/>
                <w:color w:val="555555"/>
                <w:sz w:val="24"/>
                <w:szCs w:val="24"/>
                <w:highlight w:val="none"/>
                <w:u w:val="none"/>
              </w:rPr>
            </w:pPr>
            <w:r>
              <w:rPr>
                <w:rFonts w:hint="eastAsia" w:ascii="黑体" w:hAnsi="黑体" w:eastAsia="黑体" w:cs="黑体"/>
                <w:b w:val="0"/>
                <w:bCs/>
                <w:color w:val="555555"/>
                <w:sz w:val="24"/>
                <w:szCs w:val="24"/>
                <w:highlight w:val="none"/>
                <w:u w:val="none"/>
              </w:rPr>
              <w:t>二级指标</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08E81FD">
            <w:pPr>
              <w:wordWrap w:val="0"/>
              <w:spacing w:line="260" w:lineRule="exact"/>
              <w:jc w:val="center"/>
              <w:textAlignment w:val="center"/>
              <w:rPr>
                <w:rFonts w:ascii="黑体" w:hAnsi="黑体" w:eastAsia="黑体" w:cs="黑体"/>
                <w:b w:val="0"/>
                <w:bCs/>
                <w:color w:val="555555"/>
                <w:sz w:val="24"/>
                <w:szCs w:val="24"/>
                <w:highlight w:val="none"/>
                <w:u w:val="none"/>
              </w:rPr>
            </w:pPr>
            <w:r>
              <w:rPr>
                <w:rFonts w:hint="eastAsia" w:ascii="黑体" w:hAnsi="黑体" w:eastAsia="黑体" w:cs="黑体"/>
                <w:b w:val="0"/>
                <w:bCs/>
                <w:color w:val="555555"/>
                <w:sz w:val="24"/>
                <w:szCs w:val="24"/>
                <w:highlight w:val="none"/>
                <w:u w:val="none"/>
              </w:rPr>
              <w:t>三级指标</w:t>
            </w:r>
          </w:p>
        </w:tc>
        <w:tc>
          <w:tcPr>
            <w:tcW w:w="69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F05BA21">
            <w:pPr>
              <w:wordWrap w:val="0"/>
              <w:spacing w:line="260" w:lineRule="exact"/>
              <w:jc w:val="center"/>
              <w:textAlignment w:val="center"/>
              <w:rPr>
                <w:rFonts w:ascii="黑体" w:hAnsi="黑体" w:eastAsia="黑体" w:cs="黑体"/>
                <w:b w:val="0"/>
                <w:bCs/>
                <w:color w:val="555555"/>
                <w:sz w:val="24"/>
                <w:szCs w:val="24"/>
                <w:highlight w:val="none"/>
                <w:u w:val="none"/>
              </w:rPr>
            </w:pPr>
            <w:r>
              <w:rPr>
                <w:rFonts w:hint="eastAsia" w:ascii="黑体" w:hAnsi="黑体" w:eastAsia="黑体" w:cs="黑体"/>
                <w:b w:val="0"/>
                <w:bCs/>
                <w:color w:val="555555"/>
                <w:sz w:val="24"/>
                <w:szCs w:val="24"/>
                <w:highlight w:val="none"/>
                <w:u w:val="none"/>
              </w:rPr>
              <w:t>得分</w:t>
            </w:r>
          </w:p>
        </w:tc>
      </w:tr>
      <w:tr w14:paraId="6B6EB4A6">
        <w:tblPrEx>
          <w:tblCellMar>
            <w:top w:w="0" w:type="dxa"/>
            <w:left w:w="0" w:type="dxa"/>
            <w:bottom w:w="0" w:type="dxa"/>
            <w:right w:w="0" w:type="dxa"/>
          </w:tblCellMar>
        </w:tblPrEx>
        <w:trPr>
          <w:trHeight w:val="524" w:hRule="atLeast"/>
        </w:trPr>
        <w:tc>
          <w:tcPr>
            <w:tcW w:w="1367"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F703ED1">
            <w:pPr>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思想理论教育和价值引领</w:t>
            </w:r>
          </w:p>
          <w:p w14:paraId="3DF786CB">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w:t>
            </w:r>
            <w:r>
              <w:rPr>
                <w:rFonts w:hint="eastAsia" w:ascii="楷体" w:hAnsi="楷体" w:eastAsia="楷体" w:cs="楷体"/>
                <w:b w:val="0"/>
                <w:bCs/>
                <w:color w:val="555555"/>
                <w:highlight w:val="none"/>
                <w:u w:val="none"/>
                <w:lang w:val="en-US"/>
              </w:rPr>
              <w:t>30</w:t>
            </w:r>
            <w:r>
              <w:rPr>
                <w:rFonts w:hint="eastAsia" w:ascii="楷体" w:hAnsi="楷体" w:eastAsia="楷体" w:cs="楷体"/>
                <w:b w:val="0"/>
                <w:bCs/>
                <w:color w:val="555555"/>
                <w:highlight w:val="none"/>
                <w:u w:val="none"/>
              </w:rPr>
              <w:t>分）</w:t>
            </w: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8A04313">
            <w:pPr>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主题教育（</w:t>
            </w:r>
            <w:r>
              <w:rPr>
                <w:rFonts w:hint="eastAsia" w:ascii="楷体" w:hAnsi="楷体" w:eastAsia="楷体" w:cs="楷体"/>
                <w:b w:val="0"/>
                <w:bCs/>
                <w:color w:val="555555"/>
                <w:highlight w:val="none"/>
                <w:u w:val="none"/>
                <w:lang w:val="en-US"/>
              </w:rPr>
              <w:t>15</w:t>
            </w:r>
            <w:r>
              <w:rPr>
                <w:rFonts w:hint="eastAsia" w:ascii="楷体" w:hAnsi="楷体" w:eastAsia="楷体" w:cs="楷体"/>
                <w:b w:val="0"/>
                <w:bCs/>
                <w:color w:val="555555"/>
                <w:highlight w:val="none"/>
                <w:u w:val="none"/>
              </w:rPr>
              <w:t>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17B3497">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带领学生开展习近平新时代中国特色社会主义思想和社会主义核心价值观等教育活动。借助时事热点开展形势政策教育。</w:t>
            </w:r>
          </w:p>
        </w:tc>
        <w:tc>
          <w:tcPr>
            <w:tcW w:w="698"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40FE78E">
            <w:pPr>
              <w:wordWrap w:val="0"/>
              <w:spacing w:line="260" w:lineRule="exact"/>
              <w:jc w:val="center"/>
              <w:rPr>
                <w:rFonts w:cs="Times New Roman"/>
                <w:b w:val="0"/>
                <w:bCs/>
                <w:color w:val="555555"/>
                <w:highlight w:val="none"/>
                <w:u w:val="none"/>
              </w:rPr>
            </w:pPr>
          </w:p>
        </w:tc>
      </w:tr>
      <w:tr w14:paraId="64EF7515">
        <w:tblPrEx>
          <w:tblCellMar>
            <w:top w:w="0" w:type="dxa"/>
            <w:left w:w="0" w:type="dxa"/>
            <w:bottom w:w="0" w:type="dxa"/>
            <w:right w:w="0" w:type="dxa"/>
          </w:tblCellMar>
        </w:tblPrEx>
        <w:trPr>
          <w:trHeight w:val="418" w:hRule="atLeast"/>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4961A1DD">
            <w:pPr>
              <w:widowControl/>
              <w:spacing w:line="260" w:lineRule="exact"/>
              <w:rPr>
                <w:rFonts w:ascii="楷体" w:hAnsi="楷体" w:eastAsia="楷体" w:cs="楷体"/>
                <w:b w:val="0"/>
                <w:bCs/>
                <w:color w:val="555555"/>
                <w:highlight w:val="none"/>
                <w:u w:val="none"/>
              </w:rPr>
            </w:pPr>
          </w:p>
        </w:tc>
        <w:tc>
          <w:tcPr>
            <w:tcW w:w="1888" w:type="dxa"/>
            <w:tcBorders>
              <w:top w:val="single" w:color="auto" w:sz="4" w:space="0"/>
              <w:left w:val="single" w:color="auto" w:sz="4" w:space="0"/>
              <w:bottom w:val="single" w:color="auto" w:sz="4" w:space="0"/>
              <w:right w:val="single" w:color="auto" w:sz="4" w:space="0"/>
            </w:tcBorders>
            <w:vAlign w:val="center"/>
          </w:tcPr>
          <w:p w14:paraId="01A11791">
            <w:pPr>
              <w:widowControl/>
              <w:spacing w:line="260" w:lineRule="exact"/>
              <w:jc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日常思想教育（</w:t>
            </w:r>
            <w:r>
              <w:rPr>
                <w:rFonts w:hint="eastAsia" w:ascii="楷体" w:hAnsi="楷体" w:eastAsia="楷体" w:cs="楷体"/>
                <w:b w:val="0"/>
                <w:bCs/>
                <w:color w:val="555555"/>
                <w:highlight w:val="none"/>
                <w:u w:val="none"/>
                <w:lang w:val="en-US"/>
              </w:rPr>
              <w:t>10</w:t>
            </w:r>
            <w:r>
              <w:rPr>
                <w:rFonts w:hint="eastAsia" w:ascii="楷体" w:hAnsi="楷体" w:eastAsia="楷体" w:cs="楷体"/>
                <w:b w:val="0"/>
                <w:bCs/>
                <w:color w:val="555555"/>
                <w:highlight w:val="none"/>
                <w:u w:val="none"/>
              </w:rPr>
              <w:t>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508E6EC">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熟悉学生基本信息,掌握学生思想行为特点，有方案、有计划、有记录、有针对性地开展思想教育工作。</w:t>
            </w:r>
          </w:p>
        </w:tc>
        <w:tc>
          <w:tcPr>
            <w:tcW w:w="698" w:type="dxa"/>
            <w:vMerge w:val="continue"/>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38B2364">
            <w:pPr>
              <w:wordWrap w:val="0"/>
              <w:spacing w:line="260" w:lineRule="exact"/>
              <w:jc w:val="center"/>
              <w:rPr>
                <w:rFonts w:cs="Times New Roman"/>
                <w:b w:val="0"/>
                <w:bCs/>
                <w:color w:val="555555"/>
                <w:highlight w:val="none"/>
                <w:u w:val="none"/>
              </w:rPr>
            </w:pPr>
          </w:p>
        </w:tc>
      </w:tr>
      <w:tr w14:paraId="7E1FF201">
        <w:tblPrEx>
          <w:tblCellMar>
            <w:top w:w="0" w:type="dxa"/>
            <w:left w:w="0" w:type="dxa"/>
            <w:bottom w:w="0" w:type="dxa"/>
            <w:right w:w="0" w:type="dxa"/>
          </w:tblCellMar>
        </w:tblPrEx>
        <w:trPr>
          <w:trHeight w:val="316" w:hRule="atLeast"/>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180CA29F">
            <w:pPr>
              <w:widowControl/>
              <w:spacing w:line="260" w:lineRule="exact"/>
              <w:rPr>
                <w:rFonts w:ascii="楷体" w:hAnsi="楷体" w:eastAsia="楷体" w:cs="楷体"/>
                <w:b w:val="0"/>
                <w:bCs/>
                <w:color w:val="555555"/>
                <w:highlight w:val="none"/>
                <w:u w:val="none"/>
              </w:rPr>
            </w:pP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D310BD5">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征兵宣传（5分）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203FB22">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开展国防教育与征兵宣传活动，所带学生积极报名。</w:t>
            </w:r>
          </w:p>
        </w:tc>
        <w:tc>
          <w:tcPr>
            <w:tcW w:w="698" w:type="dxa"/>
            <w:vMerge w:val="continue"/>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56816D9">
            <w:pPr>
              <w:wordWrap w:val="0"/>
              <w:spacing w:line="260" w:lineRule="exact"/>
              <w:jc w:val="center"/>
              <w:rPr>
                <w:rFonts w:cs="Times New Roman"/>
                <w:b w:val="0"/>
                <w:bCs/>
                <w:color w:val="555555"/>
                <w:highlight w:val="none"/>
                <w:u w:val="none"/>
              </w:rPr>
            </w:pPr>
          </w:p>
        </w:tc>
      </w:tr>
      <w:tr w14:paraId="3629C781">
        <w:tblPrEx>
          <w:tblCellMar>
            <w:top w:w="0" w:type="dxa"/>
            <w:left w:w="0" w:type="dxa"/>
            <w:bottom w:w="0" w:type="dxa"/>
            <w:right w:w="0" w:type="dxa"/>
          </w:tblCellMar>
        </w:tblPrEx>
        <w:trPr>
          <w:trHeight w:val="533" w:hRule="atLeast"/>
        </w:trPr>
        <w:tc>
          <w:tcPr>
            <w:tcW w:w="1367" w:type="dxa"/>
            <w:vMerge w:val="restart"/>
            <w:tcBorders>
              <w:top w:val="single" w:color="auto" w:sz="4" w:space="0"/>
              <w:left w:val="single" w:color="auto" w:sz="4" w:space="0"/>
              <w:bottom w:val="single" w:color="auto" w:sz="4" w:space="0"/>
              <w:right w:val="single" w:color="auto" w:sz="4" w:space="0"/>
            </w:tcBorders>
            <w:vAlign w:val="center"/>
          </w:tcPr>
          <w:p w14:paraId="69A6F9AF">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党团和班级</w:t>
            </w:r>
          </w:p>
          <w:p w14:paraId="5308E679">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建设</w:t>
            </w:r>
          </w:p>
          <w:p w14:paraId="2C8DF5E4">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（10分）</w:t>
            </w: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63791B1">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党团班级建设（5分）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D7E72DF">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动态关注班级思想状况，及时召开班会，解决实际问题，形成会议纪要。所带班级和团支部积极参加校级及以上荣誉的评选活动。</w:t>
            </w:r>
          </w:p>
        </w:tc>
        <w:tc>
          <w:tcPr>
            <w:tcW w:w="698"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4F38EDA">
            <w:pPr>
              <w:wordWrap w:val="0"/>
              <w:spacing w:line="260" w:lineRule="exact"/>
              <w:jc w:val="center"/>
              <w:rPr>
                <w:rFonts w:cs="Times New Roman"/>
                <w:b w:val="0"/>
                <w:bCs/>
                <w:color w:val="555555"/>
                <w:highlight w:val="none"/>
                <w:u w:val="none"/>
              </w:rPr>
            </w:pPr>
          </w:p>
        </w:tc>
      </w:tr>
      <w:tr w14:paraId="4670D3B0">
        <w:tblPrEx>
          <w:tblCellMar>
            <w:top w:w="0" w:type="dxa"/>
            <w:left w:w="0" w:type="dxa"/>
            <w:bottom w:w="0" w:type="dxa"/>
            <w:right w:w="0" w:type="dxa"/>
          </w:tblCellMar>
        </w:tblPrEx>
        <w:trPr>
          <w:trHeight w:val="559" w:hRule="atLeast"/>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36FA6458">
            <w:pPr>
              <w:widowControl/>
              <w:spacing w:line="260" w:lineRule="exact"/>
              <w:rPr>
                <w:rFonts w:ascii="楷体" w:hAnsi="楷体" w:eastAsia="楷体" w:cs="楷体"/>
                <w:b w:val="0"/>
                <w:bCs/>
                <w:color w:val="555555"/>
                <w:highlight w:val="none"/>
                <w:u w:val="none"/>
              </w:rPr>
            </w:pP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2DD1A29">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学生干部、党员发展</w:t>
            </w:r>
          </w:p>
          <w:p w14:paraId="42ABAF06">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（5分）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089A55F">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认真做好学生干部选拔、任用、培训工作，学生干部能发挥示范作用。扎实开展入党积极分子、发展对象的教育、培养或考察工作。</w:t>
            </w:r>
          </w:p>
        </w:tc>
        <w:tc>
          <w:tcPr>
            <w:tcW w:w="698" w:type="dxa"/>
            <w:vMerge w:val="continue"/>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FCCC891">
            <w:pPr>
              <w:wordWrap w:val="0"/>
              <w:spacing w:line="260" w:lineRule="exact"/>
              <w:jc w:val="center"/>
              <w:rPr>
                <w:rFonts w:cs="Times New Roman"/>
                <w:b w:val="0"/>
                <w:bCs/>
                <w:color w:val="555555"/>
                <w:highlight w:val="none"/>
                <w:u w:val="none"/>
              </w:rPr>
            </w:pPr>
          </w:p>
        </w:tc>
      </w:tr>
      <w:tr w14:paraId="762CEC27">
        <w:tblPrEx>
          <w:tblCellMar>
            <w:top w:w="0" w:type="dxa"/>
            <w:left w:w="0" w:type="dxa"/>
            <w:bottom w:w="0" w:type="dxa"/>
            <w:right w:w="0" w:type="dxa"/>
          </w:tblCellMar>
        </w:tblPrEx>
        <w:trPr>
          <w:trHeight w:val="339" w:hRule="atLeast"/>
        </w:trPr>
        <w:tc>
          <w:tcPr>
            <w:tcW w:w="1367"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5B1F5D2">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学风建设</w:t>
            </w:r>
          </w:p>
          <w:p w14:paraId="739E74C6">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（10分）</w:t>
            </w: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66D9C94">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考风考纪（</w:t>
            </w:r>
            <w:r>
              <w:rPr>
                <w:rFonts w:hint="eastAsia" w:ascii="楷体" w:hAnsi="楷体" w:eastAsia="楷体" w:cs="楷体"/>
                <w:b w:val="0"/>
                <w:bCs/>
                <w:color w:val="555555"/>
                <w:highlight w:val="none"/>
                <w:u w:val="none"/>
                <w:lang w:val="en-US"/>
              </w:rPr>
              <w:t>4</w:t>
            </w:r>
            <w:r>
              <w:rPr>
                <w:rFonts w:hint="eastAsia" w:ascii="楷体" w:hAnsi="楷体" w:eastAsia="楷体" w:cs="楷体"/>
                <w:b w:val="0"/>
                <w:bCs/>
                <w:color w:val="555555"/>
                <w:highlight w:val="none"/>
                <w:u w:val="none"/>
              </w:rPr>
              <w:t>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3136E92">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举行考风考纪、诚信教育等方面的主题教育活动。</w:t>
            </w:r>
          </w:p>
        </w:tc>
        <w:tc>
          <w:tcPr>
            <w:tcW w:w="698"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2D82F51">
            <w:pPr>
              <w:wordWrap w:val="0"/>
              <w:spacing w:line="260" w:lineRule="exact"/>
              <w:jc w:val="center"/>
              <w:rPr>
                <w:rFonts w:cs="Times New Roman"/>
                <w:b w:val="0"/>
                <w:bCs/>
                <w:color w:val="555555"/>
                <w:highlight w:val="none"/>
                <w:u w:val="none"/>
              </w:rPr>
            </w:pPr>
            <w:r>
              <w:rPr>
                <w:rFonts w:cs="Times New Roman"/>
                <w:b w:val="0"/>
                <w:bCs/>
                <w:color w:val="555555"/>
                <w:highlight w:val="none"/>
                <w:u w:val="none"/>
              </w:rPr>
              <w:t> </w:t>
            </w:r>
          </w:p>
        </w:tc>
      </w:tr>
      <w:tr w14:paraId="41D80835">
        <w:tblPrEx>
          <w:tblCellMar>
            <w:top w:w="0" w:type="dxa"/>
            <w:left w:w="0" w:type="dxa"/>
            <w:bottom w:w="0" w:type="dxa"/>
            <w:right w:w="0" w:type="dxa"/>
          </w:tblCellMar>
        </w:tblPrEx>
        <w:trPr>
          <w:trHeight w:val="529" w:hRule="atLeast"/>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6776E79E">
            <w:pPr>
              <w:widowControl/>
              <w:spacing w:line="260" w:lineRule="exact"/>
              <w:rPr>
                <w:rFonts w:ascii="楷体" w:hAnsi="楷体" w:eastAsia="楷体" w:cs="楷体"/>
                <w:b w:val="0"/>
                <w:bCs/>
                <w:color w:val="555555"/>
                <w:highlight w:val="none"/>
                <w:u w:val="none"/>
              </w:rPr>
            </w:pP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948E1E7">
            <w:pPr>
              <w:wordWrap w:val="0"/>
              <w:spacing w:line="260" w:lineRule="exact"/>
              <w:jc w:val="center"/>
              <w:textAlignment w:val="center"/>
              <w:rPr>
                <w:rFonts w:ascii="楷体" w:hAnsi="楷体" w:eastAsia="楷体" w:cs="楷体"/>
                <w:b w:val="0"/>
                <w:bCs/>
                <w:color w:val="555555"/>
                <w:sz w:val="21"/>
                <w:szCs w:val="21"/>
                <w:highlight w:val="none"/>
                <w:u w:val="none"/>
                <w:lang w:val="en-US" w:bidi="ar-SA"/>
              </w:rPr>
            </w:pPr>
            <w:r>
              <w:rPr>
                <w:rFonts w:hint="eastAsia" w:ascii="楷体" w:hAnsi="楷体" w:eastAsia="楷体" w:cs="楷体"/>
                <w:b w:val="0"/>
                <w:bCs/>
                <w:color w:val="555555"/>
                <w:highlight w:val="none"/>
                <w:u w:val="none"/>
              </w:rPr>
              <w:t>深入课堂（</w:t>
            </w:r>
            <w:r>
              <w:rPr>
                <w:rFonts w:hint="eastAsia" w:ascii="楷体" w:hAnsi="楷体" w:eastAsia="楷体" w:cs="楷体"/>
                <w:b w:val="0"/>
                <w:bCs/>
                <w:color w:val="555555"/>
                <w:highlight w:val="none"/>
                <w:u w:val="none"/>
                <w:lang w:val="en-US"/>
              </w:rPr>
              <w:t>3</w:t>
            </w:r>
            <w:r>
              <w:rPr>
                <w:rFonts w:hint="eastAsia" w:ascii="楷体" w:hAnsi="楷体" w:eastAsia="楷体" w:cs="楷体"/>
                <w:b w:val="0"/>
                <w:bCs/>
                <w:color w:val="555555"/>
                <w:highlight w:val="none"/>
                <w:u w:val="none"/>
              </w:rPr>
              <w:t>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116E7E4">
            <w:pPr>
              <w:wordWrap w:val="0"/>
              <w:spacing w:line="260" w:lineRule="exact"/>
              <w:textAlignment w:val="center"/>
              <w:rPr>
                <w:rFonts w:ascii="楷体" w:hAnsi="楷体" w:eastAsia="楷体" w:cs="楷体"/>
                <w:b w:val="0"/>
                <w:bCs/>
                <w:color w:val="555555"/>
                <w:sz w:val="21"/>
                <w:szCs w:val="21"/>
                <w:highlight w:val="none"/>
                <w:u w:val="none"/>
                <w:lang w:val="en-US" w:bidi="ar-SA"/>
              </w:rPr>
            </w:pPr>
            <w:r>
              <w:rPr>
                <w:rFonts w:hint="eastAsia" w:ascii="楷体" w:hAnsi="楷体" w:eastAsia="楷体" w:cs="楷体"/>
                <w:b w:val="0"/>
                <w:bCs/>
                <w:color w:val="555555"/>
                <w:highlight w:val="none"/>
                <w:u w:val="none"/>
              </w:rPr>
              <w:t>能深入课堂，协助任课老师做好课堂管理，促进学风建设。</w:t>
            </w:r>
          </w:p>
        </w:tc>
        <w:tc>
          <w:tcPr>
            <w:tcW w:w="698" w:type="dxa"/>
            <w:vMerge w:val="continue"/>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5C7EE0A">
            <w:pPr>
              <w:wordWrap w:val="0"/>
              <w:spacing w:line="260" w:lineRule="exact"/>
              <w:jc w:val="center"/>
              <w:rPr>
                <w:rFonts w:cs="Times New Roman"/>
                <w:b w:val="0"/>
                <w:bCs/>
                <w:color w:val="555555"/>
                <w:highlight w:val="none"/>
                <w:u w:val="none"/>
              </w:rPr>
            </w:pPr>
          </w:p>
        </w:tc>
      </w:tr>
      <w:tr w14:paraId="13F1D166">
        <w:tblPrEx>
          <w:tblCellMar>
            <w:top w:w="0" w:type="dxa"/>
            <w:left w:w="0" w:type="dxa"/>
            <w:bottom w:w="0" w:type="dxa"/>
            <w:right w:w="0" w:type="dxa"/>
          </w:tblCellMar>
        </w:tblPrEx>
        <w:trPr>
          <w:trHeight w:val="284" w:hRule="atLeast"/>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4D7B797F">
            <w:pPr>
              <w:widowControl/>
              <w:spacing w:line="260" w:lineRule="exact"/>
              <w:rPr>
                <w:rFonts w:ascii="楷体" w:hAnsi="楷体" w:eastAsia="楷体" w:cs="楷体"/>
                <w:b w:val="0"/>
                <w:bCs/>
                <w:color w:val="555555"/>
                <w:highlight w:val="none"/>
                <w:u w:val="none"/>
              </w:rPr>
            </w:pP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3B24F7E">
            <w:pPr>
              <w:wordWrap w:val="0"/>
              <w:spacing w:line="260" w:lineRule="exact"/>
              <w:jc w:val="center"/>
              <w:textAlignment w:val="center"/>
              <w:rPr>
                <w:rFonts w:ascii="楷体" w:hAnsi="楷体" w:eastAsia="楷体" w:cs="楷体"/>
                <w:b w:val="0"/>
                <w:bCs/>
                <w:color w:val="555555"/>
                <w:sz w:val="21"/>
                <w:szCs w:val="21"/>
                <w:highlight w:val="none"/>
                <w:u w:val="none"/>
                <w:lang w:val="en-US" w:bidi="ar-SA"/>
              </w:rPr>
            </w:pPr>
            <w:r>
              <w:rPr>
                <w:rFonts w:hint="eastAsia" w:ascii="楷体" w:hAnsi="楷体" w:eastAsia="楷体" w:cs="楷体"/>
                <w:b w:val="0"/>
                <w:bCs/>
                <w:color w:val="555555"/>
                <w:highlight w:val="none"/>
                <w:u w:val="none"/>
              </w:rPr>
              <w:t>校园文化（</w:t>
            </w:r>
            <w:r>
              <w:rPr>
                <w:rFonts w:hint="eastAsia" w:ascii="楷体" w:hAnsi="楷体" w:eastAsia="楷体" w:cs="楷体"/>
                <w:b w:val="0"/>
                <w:bCs/>
                <w:color w:val="555555"/>
                <w:highlight w:val="none"/>
                <w:u w:val="none"/>
                <w:lang w:val="en-US"/>
              </w:rPr>
              <w:t>3</w:t>
            </w:r>
            <w:r>
              <w:rPr>
                <w:rFonts w:hint="eastAsia" w:ascii="楷体" w:hAnsi="楷体" w:eastAsia="楷体" w:cs="楷体"/>
                <w:b w:val="0"/>
                <w:bCs/>
                <w:color w:val="555555"/>
                <w:highlight w:val="none"/>
                <w:u w:val="none"/>
              </w:rPr>
              <w:t>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892A390">
            <w:pPr>
              <w:wordWrap w:val="0"/>
              <w:spacing w:line="260" w:lineRule="exact"/>
              <w:textAlignment w:val="center"/>
              <w:rPr>
                <w:rFonts w:ascii="楷体" w:hAnsi="楷体" w:eastAsia="楷体" w:cs="楷体"/>
                <w:b w:val="0"/>
                <w:bCs/>
                <w:color w:val="555555"/>
                <w:sz w:val="21"/>
                <w:szCs w:val="21"/>
                <w:highlight w:val="none"/>
                <w:u w:val="none"/>
                <w:lang w:val="en-US" w:bidi="ar-SA"/>
              </w:rPr>
            </w:pPr>
            <w:r>
              <w:rPr>
                <w:rFonts w:hint="eastAsia" w:ascii="楷体" w:hAnsi="楷体" w:eastAsia="楷体" w:cs="楷体"/>
                <w:b w:val="0"/>
                <w:bCs/>
                <w:color w:val="555555"/>
                <w:highlight w:val="none"/>
                <w:u w:val="none"/>
              </w:rPr>
              <w:t>认真组织开展各类学风建设活动，组织学生参加各类学科竞赛、创新创业类大赛。</w:t>
            </w:r>
          </w:p>
        </w:tc>
        <w:tc>
          <w:tcPr>
            <w:tcW w:w="698" w:type="dxa"/>
            <w:vMerge w:val="continue"/>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885C124">
            <w:pPr>
              <w:wordWrap w:val="0"/>
              <w:spacing w:line="260" w:lineRule="exact"/>
              <w:jc w:val="center"/>
              <w:rPr>
                <w:rFonts w:cs="Times New Roman"/>
                <w:b w:val="0"/>
                <w:bCs/>
                <w:color w:val="555555"/>
                <w:highlight w:val="none"/>
                <w:u w:val="none"/>
              </w:rPr>
            </w:pPr>
          </w:p>
        </w:tc>
      </w:tr>
      <w:tr w14:paraId="63E92605">
        <w:tblPrEx>
          <w:tblCellMar>
            <w:top w:w="0" w:type="dxa"/>
            <w:left w:w="0" w:type="dxa"/>
            <w:bottom w:w="0" w:type="dxa"/>
            <w:right w:w="0" w:type="dxa"/>
          </w:tblCellMar>
        </w:tblPrEx>
        <w:trPr>
          <w:trHeight w:val="217" w:hRule="atLeast"/>
        </w:trPr>
        <w:tc>
          <w:tcPr>
            <w:tcW w:w="1367"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73E0266">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学生日常事务管理（2</w:t>
            </w:r>
            <w:r>
              <w:rPr>
                <w:rFonts w:hint="eastAsia" w:ascii="楷体" w:hAnsi="楷体" w:eastAsia="楷体" w:cs="楷体"/>
                <w:b w:val="0"/>
                <w:bCs/>
                <w:color w:val="555555"/>
                <w:highlight w:val="none"/>
                <w:u w:val="none"/>
                <w:lang w:val="en-US"/>
              </w:rPr>
              <w:t>5</w:t>
            </w:r>
            <w:r>
              <w:rPr>
                <w:rFonts w:hint="eastAsia" w:ascii="楷体" w:hAnsi="楷体" w:eastAsia="楷体" w:cs="楷体"/>
                <w:b w:val="0"/>
                <w:bCs/>
                <w:color w:val="555555"/>
                <w:highlight w:val="none"/>
                <w:u w:val="none"/>
              </w:rPr>
              <w:t>分）</w:t>
            </w:r>
          </w:p>
        </w:tc>
        <w:tc>
          <w:tcPr>
            <w:tcW w:w="1888"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58A7187">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日常管理（1</w:t>
            </w:r>
            <w:r>
              <w:rPr>
                <w:rFonts w:hint="eastAsia" w:ascii="楷体" w:hAnsi="楷体" w:eastAsia="楷体" w:cs="楷体"/>
                <w:b w:val="0"/>
                <w:bCs/>
                <w:color w:val="555555"/>
                <w:highlight w:val="none"/>
                <w:u w:val="none"/>
                <w:lang w:val="en-US"/>
              </w:rPr>
              <w:t>5</w:t>
            </w:r>
            <w:r>
              <w:rPr>
                <w:rFonts w:hint="eastAsia" w:ascii="楷体" w:hAnsi="楷体" w:eastAsia="楷体" w:cs="楷体"/>
                <w:b w:val="0"/>
                <w:bCs/>
                <w:color w:val="555555"/>
                <w:highlight w:val="none"/>
                <w:u w:val="none"/>
              </w:rPr>
              <w:t>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8045F21">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开展或配合开展新生入学教育、毕业生教育等工作。</w:t>
            </w:r>
          </w:p>
        </w:tc>
        <w:tc>
          <w:tcPr>
            <w:tcW w:w="698"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40BF2E9">
            <w:pPr>
              <w:wordWrap w:val="0"/>
              <w:spacing w:line="260" w:lineRule="exact"/>
              <w:jc w:val="center"/>
              <w:rPr>
                <w:rFonts w:cs="Times New Roman"/>
                <w:b w:val="0"/>
                <w:bCs/>
                <w:color w:val="555555"/>
                <w:highlight w:val="none"/>
                <w:u w:val="none"/>
              </w:rPr>
            </w:pPr>
          </w:p>
        </w:tc>
      </w:tr>
      <w:tr w14:paraId="0E77BCB1">
        <w:tblPrEx>
          <w:tblCellMar>
            <w:top w:w="0" w:type="dxa"/>
            <w:left w:w="0" w:type="dxa"/>
            <w:bottom w:w="0" w:type="dxa"/>
            <w:right w:w="0" w:type="dxa"/>
          </w:tblCellMar>
        </w:tblPrEx>
        <w:trPr>
          <w:trHeight w:val="293" w:hRule="atLeast"/>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188A2F12">
            <w:pPr>
              <w:widowControl/>
              <w:spacing w:line="260" w:lineRule="exact"/>
              <w:rPr>
                <w:rFonts w:ascii="楷体" w:hAnsi="楷体" w:eastAsia="楷体" w:cs="楷体"/>
                <w:b w:val="0"/>
                <w:bCs/>
                <w:color w:val="555555"/>
                <w:highlight w:val="none"/>
                <w:u w:val="none"/>
              </w:rPr>
            </w:pPr>
          </w:p>
        </w:tc>
        <w:tc>
          <w:tcPr>
            <w:tcW w:w="1888" w:type="dxa"/>
            <w:vMerge w:val="continue"/>
            <w:tcBorders>
              <w:top w:val="single" w:color="auto" w:sz="4" w:space="0"/>
              <w:left w:val="single" w:color="auto" w:sz="4" w:space="0"/>
              <w:bottom w:val="single" w:color="auto" w:sz="4" w:space="0"/>
              <w:right w:val="single" w:color="auto" w:sz="4" w:space="0"/>
            </w:tcBorders>
            <w:vAlign w:val="center"/>
          </w:tcPr>
          <w:p w14:paraId="0D186A9F">
            <w:pPr>
              <w:widowControl/>
              <w:spacing w:line="260" w:lineRule="exact"/>
              <w:rPr>
                <w:rFonts w:ascii="楷体" w:hAnsi="楷体" w:eastAsia="楷体" w:cs="楷体"/>
                <w:b w:val="0"/>
                <w:bCs/>
                <w:color w:val="555555"/>
                <w:highlight w:val="none"/>
                <w:u w:val="none"/>
              </w:rPr>
            </w:pP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7059CE6">
            <w:pPr>
              <w:wordWrap w:val="0"/>
              <w:spacing w:line="260" w:lineRule="exact"/>
              <w:textAlignment w:val="center"/>
              <w:rPr>
                <w:rFonts w:hint="default" w:ascii="楷体" w:hAnsi="楷体" w:eastAsia="楷体" w:cs="楷体"/>
                <w:b w:val="0"/>
                <w:bCs/>
                <w:color w:val="555555"/>
                <w:highlight w:val="none"/>
                <w:u w:val="none"/>
                <w:lang w:val="en-US" w:eastAsia="zh-CN"/>
              </w:rPr>
            </w:pPr>
            <w:r>
              <w:rPr>
                <w:rFonts w:hint="eastAsia" w:ascii="楷体" w:hAnsi="楷体" w:eastAsia="楷体" w:cs="楷体"/>
                <w:b w:val="0"/>
                <w:bCs/>
                <w:color w:val="555555"/>
                <w:highlight w:val="none"/>
                <w:u w:val="none"/>
              </w:rPr>
              <w:t>精准完成各类奖、助学金评定及评先评优等工作，零疏忽、零失误。</w:t>
            </w:r>
            <w:r>
              <w:rPr>
                <w:rFonts w:hint="eastAsia" w:ascii="楷体" w:hAnsi="楷体" w:eastAsia="楷体" w:cs="楷体"/>
                <w:b w:val="0"/>
                <w:bCs/>
                <w:color w:val="555555"/>
                <w:highlight w:val="none"/>
                <w:u w:val="none"/>
                <w:lang w:val="en-US" w:eastAsia="zh-CN"/>
              </w:rPr>
              <w:t>班级学生学费缴纳情况。</w:t>
            </w:r>
          </w:p>
        </w:tc>
        <w:tc>
          <w:tcPr>
            <w:tcW w:w="698" w:type="dxa"/>
            <w:vMerge w:val="continue"/>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2684D2B">
            <w:pPr>
              <w:wordWrap w:val="0"/>
              <w:spacing w:line="260" w:lineRule="exact"/>
              <w:jc w:val="center"/>
              <w:rPr>
                <w:rFonts w:cs="Times New Roman"/>
                <w:b w:val="0"/>
                <w:bCs/>
                <w:color w:val="555555"/>
                <w:highlight w:val="none"/>
                <w:u w:val="none"/>
              </w:rPr>
            </w:pPr>
          </w:p>
        </w:tc>
      </w:tr>
      <w:tr w14:paraId="4D570FE1">
        <w:tblPrEx>
          <w:tblCellMar>
            <w:top w:w="0" w:type="dxa"/>
            <w:left w:w="0" w:type="dxa"/>
            <w:bottom w:w="0" w:type="dxa"/>
            <w:right w:w="0" w:type="dxa"/>
          </w:tblCellMar>
        </w:tblPrEx>
        <w:trPr>
          <w:trHeight w:val="297" w:hRule="atLeast"/>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5621F64E">
            <w:pPr>
              <w:widowControl/>
              <w:spacing w:line="260" w:lineRule="exact"/>
              <w:rPr>
                <w:rFonts w:ascii="楷体" w:hAnsi="楷体" w:eastAsia="楷体" w:cs="楷体"/>
                <w:b w:val="0"/>
                <w:bCs/>
                <w:color w:val="555555"/>
                <w:highlight w:val="none"/>
                <w:u w:val="none"/>
              </w:rPr>
            </w:pPr>
          </w:p>
        </w:tc>
        <w:tc>
          <w:tcPr>
            <w:tcW w:w="1888" w:type="dxa"/>
            <w:vMerge w:val="continue"/>
            <w:tcBorders>
              <w:top w:val="single" w:color="auto" w:sz="4" w:space="0"/>
              <w:left w:val="single" w:color="auto" w:sz="4" w:space="0"/>
              <w:bottom w:val="single" w:color="auto" w:sz="4" w:space="0"/>
              <w:right w:val="single" w:color="auto" w:sz="4" w:space="0"/>
            </w:tcBorders>
            <w:vAlign w:val="center"/>
          </w:tcPr>
          <w:p w14:paraId="63E0DCF9">
            <w:pPr>
              <w:widowControl/>
              <w:spacing w:line="260" w:lineRule="exact"/>
              <w:rPr>
                <w:rFonts w:ascii="楷体" w:hAnsi="楷体" w:eastAsia="楷体" w:cs="楷体"/>
                <w:b w:val="0"/>
                <w:bCs/>
                <w:color w:val="555555"/>
                <w:highlight w:val="none"/>
                <w:u w:val="none"/>
              </w:rPr>
            </w:pP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1C6D04E">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能利用重要节点开展教育活动，并形成文字材料。</w:t>
            </w:r>
          </w:p>
        </w:tc>
        <w:tc>
          <w:tcPr>
            <w:tcW w:w="698" w:type="dxa"/>
            <w:vMerge w:val="continue"/>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B8DEDCD">
            <w:pPr>
              <w:wordWrap w:val="0"/>
              <w:spacing w:line="260" w:lineRule="exact"/>
              <w:jc w:val="center"/>
              <w:rPr>
                <w:rFonts w:cs="Times New Roman"/>
                <w:b w:val="0"/>
                <w:bCs/>
                <w:color w:val="555555"/>
                <w:highlight w:val="none"/>
                <w:u w:val="none"/>
              </w:rPr>
            </w:pPr>
          </w:p>
        </w:tc>
      </w:tr>
      <w:tr w14:paraId="7674F0D8">
        <w:tblPrEx>
          <w:tblCellMar>
            <w:top w:w="0" w:type="dxa"/>
            <w:left w:w="0" w:type="dxa"/>
            <w:bottom w:w="0" w:type="dxa"/>
            <w:right w:w="0" w:type="dxa"/>
          </w:tblCellMar>
        </w:tblPrEx>
        <w:trPr>
          <w:trHeight w:val="588" w:hRule="atLeast"/>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481BF45B">
            <w:pPr>
              <w:widowControl/>
              <w:spacing w:line="260" w:lineRule="exact"/>
              <w:rPr>
                <w:rFonts w:ascii="楷体" w:hAnsi="楷体" w:eastAsia="楷体" w:cs="楷体"/>
                <w:b w:val="0"/>
                <w:bCs/>
                <w:color w:val="555555"/>
                <w:highlight w:val="none"/>
                <w:u w:val="none"/>
              </w:rPr>
            </w:pPr>
          </w:p>
        </w:tc>
        <w:tc>
          <w:tcPr>
            <w:tcW w:w="1888" w:type="dxa"/>
            <w:vMerge w:val="continue"/>
            <w:tcBorders>
              <w:top w:val="single" w:color="auto" w:sz="4" w:space="0"/>
              <w:left w:val="single" w:color="auto" w:sz="4" w:space="0"/>
              <w:bottom w:val="single" w:color="auto" w:sz="4" w:space="0"/>
              <w:right w:val="single" w:color="auto" w:sz="4" w:space="0"/>
            </w:tcBorders>
            <w:vAlign w:val="center"/>
          </w:tcPr>
          <w:p w14:paraId="4FFDAD1A">
            <w:pPr>
              <w:widowControl/>
              <w:spacing w:line="260" w:lineRule="exact"/>
              <w:rPr>
                <w:rFonts w:ascii="楷体" w:hAnsi="楷体" w:eastAsia="楷体" w:cs="楷体"/>
                <w:b w:val="0"/>
                <w:bCs/>
                <w:color w:val="555555"/>
                <w:highlight w:val="none"/>
                <w:u w:val="none"/>
              </w:rPr>
            </w:pP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E5EEEF6">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准确把握国家有关法律法规和学校规章制度，开展纪律教育活动，对学生违法违纪行为进行严肃、规范处理。</w:t>
            </w:r>
          </w:p>
        </w:tc>
        <w:tc>
          <w:tcPr>
            <w:tcW w:w="698" w:type="dxa"/>
            <w:vMerge w:val="continue"/>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321DAC4">
            <w:pPr>
              <w:wordWrap w:val="0"/>
              <w:spacing w:line="260" w:lineRule="exact"/>
              <w:jc w:val="center"/>
              <w:rPr>
                <w:rFonts w:cs="Times New Roman"/>
                <w:b w:val="0"/>
                <w:bCs/>
                <w:color w:val="555555"/>
                <w:highlight w:val="none"/>
                <w:u w:val="none"/>
              </w:rPr>
            </w:pPr>
          </w:p>
        </w:tc>
      </w:tr>
      <w:tr w14:paraId="0FCEC6C1">
        <w:tblPrEx>
          <w:tblCellMar>
            <w:top w:w="0" w:type="dxa"/>
            <w:left w:w="0" w:type="dxa"/>
            <w:bottom w:w="0" w:type="dxa"/>
            <w:right w:w="0" w:type="dxa"/>
          </w:tblCellMar>
        </w:tblPrEx>
        <w:trPr>
          <w:trHeight w:val="343" w:hRule="atLeast"/>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2EC73403">
            <w:pPr>
              <w:widowControl/>
              <w:spacing w:line="260" w:lineRule="exact"/>
              <w:rPr>
                <w:rFonts w:ascii="楷体" w:hAnsi="楷体" w:eastAsia="楷体" w:cs="楷体"/>
                <w:b w:val="0"/>
                <w:bCs/>
                <w:color w:val="555555"/>
                <w:highlight w:val="none"/>
                <w:u w:val="none"/>
              </w:rPr>
            </w:pP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3752043">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学生资助（5分）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D91D0F8">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严格执行国家和学校资助政策，准确掌握困难学生状况，积极主动做好困难学生认定、帮扶等工作。</w:t>
            </w:r>
          </w:p>
        </w:tc>
        <w:tc>
          <w:tcPr>
            <w:tcW w:w="698" w:type="dxa"/>
            <w:vMerge w:val="continue"/>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A622AE5">
            <w:pPr>
              <w:wordWrap w:val="0"/>
              <w:spacing w:line="260" w:lineRule="exact"/>
              <w:jc w:val="center"/>
              <w:rPr>
                <w:rFonts w:cs="Times New Roman"/>
                <w:b w:val="0"/>
                <w:bCs/>
                <w:color w:val="555555"/>
                <w:highlight w:val="none"/>
                <w:u w:val="none"/>
              </w:rPr>
            </w:pPr>
          </w:p>
        </w:tc>
      </w:tr>
      <w:tr w14:paraId="0B916438">
        <w:tblPrEx>
          <w:tblCellMar>
            <w:top w:w="0" w:type="dxa"/>
            <w:left w:w="0" w:type="dxa"/>
            <w:bottom w:w="0" w:type="dxa"/>
            <w:right w:w="0" w:type="dxa"/>
          </w:tblCellMar>
        </w:tblPrEx>
        <w:trPr>
          <w:trHeight w:val="578" w:hRule="atLeast"/>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0AF1F285">
            <w:pPr>
              <w:widowControl/>
              <w:spacing w:line="260" w:lineRule="exact"/>
              <w:rPr>
                <w:rFonts w:ascii="楷体" w:hAnsi="楷体" w:eastAsia="楷体" w:cs="楷体"/>
                <w:b w:val="0"/>
                <w:bCs/>
                <w:color w:val="555555"/>
                <w:highlight w:val="none"/>
                <w:u w:val="none"/>
              </w:rPr>
            </w:pPr>
          </w:p>
        </w:tc>
        <w:tc>
          <w:tcPr>
            <w:tcW w:w="1888" w:type="dxa"/>
            <w:tcBorders>
              <w:top w:val="single" w:color="auto" w:sz="4" w:space="0"/>
              <w:left w:val="single" w:color="auto" w:sz="4" w:space="0"/>
              <w:bottom w:val="single" w:color="auto" w:sz="4" w:space="0"/>
              <w:right w:val="single" w:color="auto" w:sz="4" w:space="0"/>
            </w:tcBorders>
            <w:vAlign w:val="center"/>
          </w:tcPr>
          <w:p w14:paraId="63E0ED60">
            <w:pPr>
              <w:widowControl/>
              <w:spacing w:line="260" w:lineRule="exact"/>
              <w:jc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学生宿舍管理（5分）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2DCDF57">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平均每月深入学生宿舍不低于</w:t>
            </w:r>
            <w:r>
              <w:rPr>
                <w:rFonts w:hint="eastAsia" w:ascii="楷体" w:hAnsi="楷体" w:eastAsia="楷体" w:cs="楷体"/>
                <w:b w:val="0"/>
                <w:bCs/>
                <w:color w:val="555555"/>
                <w:highlight w:val="none"/>
                <w:u w:val="none"/>
                <w:lang w:val="en-US"/>
              </w:rPr>
              <w:t>2</w:t>
            </w:r>
            <w:r>
              <w:rPr>
                <w:rFonts w:hint="eastAsia" w:ascii="楷体" w:hAnsi="楷体" w:eastAsia="楷体" w:cs="楷体"/>
                <w:b w:val="0"/>
                <w:bCs/>
                <w:color w:val="555555"/>
                <w:highlight w:val="none"/>
                <w:u w:val="none"/>
              </w:rPr>
              <w:t>次，定期开展违禁电器、管制刀具、夜不归宿等检查活动。</w:t>
            </w:r>
          </w:p>
        </w:tc>
        <w:tc>
          <w:tcPr>
            <w:tcW w:w="698" w:type="dxa"/>
            <w:vMerge w:val="continue"/>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C9CD181">
            <w:pPr>
              <w:wordWrap w:val="0"/>
              <w:spacing w:line="260" w:lineRule="exact"/>
              <w:jc w:val="center"/>
              <w:rPr>
                <w:rFonts w:cs="Times New Roman"/>
                <w:b w:val="0"/>
                <w:bCs/>
                <w:color w:val="555555"/>
                <w:highlight w:val="none"/>
                <w:u w:val="none"/>
              </w:rPr>
            </w:pPr>
          </w:p>
        </w:tc>
      </w:tr>
      <w:tr w14:paraId="450D1578">
        <w:tblPrEx>
          <w:tblCellMar>
            <w:top w:w="0" w:type="dxa"/>
            <w:left w:w="0" w:type="dxa"/>
            <w:bottom w:w="0" w:type="dxa"/>
            <w:right w:w="0" w:type="dxa"/>
          </w:tblCellMar>
        </w:tblPrEx>
        <w:trPr>
          <w:trHeight w:val="431" w:hRule="atLeast"/>
        </w:trPr>
        <w:tc>
          <w:tcPr>
            <w:tcW w:w="1367" w:type="dxa"/>
            <w:tcBorders>
              <w:top w:val="single" w:color="auto" w:sz="4" w:space="0"/>
              <w:left w:val="single" w:color="auto" w:sz="4" w:space="0"/>
              <w:bottom w:val="single" w:color="auto" w:sz="4" w:space="0"/>
              <w:right w:val="single" w:color="auto" w:sz="4" w:space="0"/>
            </w:tcBorders>
            <w:vAlign w:val="center"/>
          </w:tcPr>
          <w:p w14:paraId="64F6713F">
            <w:pPr>
              <w:wordWrap w:val="0"/>
              <w:spacing w:line="260" w:lineRule="exact"/>
              <w:jc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心理健康教育与咨询（</w:t>
            </w:r>
            <w:r>
              <w:rPr>
                <w:rFonts w:hint="eastAsia" w:ascii="楷体" w:hAnsi="楷体" w:eastAsia="楷体" w:cs="楷体"/>
                <w:b w:val="0"/>
                <w:bCs/>
                <w:color w:val="555555"/>
                <w:highlight w:val="none"/>
                <w:u w:val="none"/>
                <w:lang w:val="en-US"/>
              </w:rPr>
              <w:t>5</w:t>
            </w:r>
            <w:r>
              <w:rPr>
                <w:rFonts w:hint="eastAsia" w:ascii="楷体" w:hAnsi="楷体" w:eastAsia="楷体" w:cs="楷体"/>
                <w:b w:val="0"/>
                <w:bCs/>
                <w:color w:val="555555"/>
                <w:highlight w:val="none"/>
                <w:u w:val="none"/>
              </w:rPr>
              <w:t>分）</w:t>
            </w:r>
          </w:p>
        </w:tc>
        <w:tc>
          <w:tcPr>
            <w:tcW w:w="1888" w:type="dxa"/>
            <w:tcBorders>
              <w:top w:val="single" w:color="auto" w:sz="4" w:space="0"/>
              <w:left w:val="single" w:color="auto" w:sz="4" w:space="0"/>
              <w:bottom w:val="single" w:color="auto" w:sz="4" w:space="0"/>
              <w:right w:val="single" w:color="auto" w:sz="4" w:space="0"/>
            </w:tcBorders>
            <w:vAlign w:val="center"/>
          </w:tcPr>
          <w:p w14:paraId="53F5CE74">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心理疏导与帮扶</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135F509">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开展多种形式的心理健康教育，做到心理问题早发现、早干预，且方式得当；积极组织学生参加心理健康教育活动。</w:t>
            </w:r>
          </w:p>
        </w:tc>
        <w:tc>
          <w:tcPr>
            <w:tcW w:w="69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6289BE6">
            <w:pPr>
              <w:wordWrap w:val="0"/>
              <w:spacing w:line="260" w:lineRule="exact"/>
              <w:jc w:val="center"/>
              <w:rPr>
                <w:rFonts w:cs="Times New Roman"/>
                <w:b w:val="0"/>
                <w:bCs/>
                <w:color w:val="555555"/>
                <w:highlight w:val="none"/>
                <w:u w:val="none"/>
              </w:rPr>
            </w:pPr>
          </w:p>
        </w:tc>
      </w:tr>
      <w:tr w14:paraId="3D2F021A">
        <w:tblPrEx>
          <w:tblCellMar>
            <w:top w:w="0" w:type="dxa"/>
            <w:left w:w="0" w:type="dxa"/>
            <w:bottom w:w="0" w:type="dxa"/>
            <w:right w:w="0" w:type="dxa"/>
          </w:tblCellMar>
        </w:tblPrEx>
        <w:trPr>
          <w:trHeight w:val="338" w:hRule="atLeast"/>
        </w:trPr>
        <w:tc>
          <w:tcPr>
            <w:tcW w:w="1367" w:type="dxa"/>
            <w:tcBorders>
              <w:top w:val="single" w:color="auto" w:sz="4" w:space="0"/>
              <w:left w:val="single" w:color="auto" w:sz="4" w:space="0"/>
              <w:bottom w:val="single" w:color="auto" w:sz="4" w:space="0"/>
              <w:right w:val="single" w:color="auto" w:sz="4" w:space="0"/>
            </w:tcBorders>
            <w:vAlign w:val="center"/>
          </w:tcPr>
          <w:p w14:paraId="741F5891">
            <w:pPr>
              <w:wordWrap w:val="0"/>
              <w:spacing w:line="260" w:lineRule="exact"/>
              <w:jc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网络思想政治教育（</w:t>
            </w:r>
            <w:r>
              <w:rPr>
                <w:rFonts w:hint="eastAsia" w:ascii="楷体" w:hAnsi="楷体" w:eastAsia="楷体" w:cs="楷体"/>
                <w:b w:val="0"/>
                <w:bCs/>
                <w:color w:val="555555"/>
                <w:highlight w:val="none"/>
                <w:u w:val="none"/>
                <w:lang w:val="en-US"/>
              </w:rPr>
              <w:t>5</w:t>
            </w:r>
            <w:r>
              <w:rPr>
                <w:rFonts w:hint="eastAsia" w:ascii="楷体" w:hAnsi="楷体" w:eastAsia="楷体" w:cs="楷体"/>
                <w:b w:val="0"/>
                <w:bCs/>
                <w:color w:val="555555"/>
                <w:highlight w:val="none"/>
                <w:u w:val="none"/>
              </w:rPr>
              <w:t>分）</w:t>
            </w:r>
          </w:p>
        </w:tc>
        <w:tc>
          <w:tcPr>
            <w:tcW w:w="1888" w:type="dxa"/>
            <w:tcBorders>
              <w:top w:val="single" w:color="auto" w:sz="4" w:space="0"/>
              <w:left w:val="single" w:color="auto" w:sz="4" w:space="0"/>
              <w:bottom w:val="single" w:color="auto" w:sz="4" w:space="0"/>
              <w:right w:val="single" w:color="auto" w:sz="4" w:space="0"/>
            </w:tcBorders>
            <w:vAlign w:val="center"/>
          </w:tcPr>
          <w:p w14:paraId="0A91A41E">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新媒体运用</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6F10C9A">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熟练运用网络新媒体开展工作，开展网络文明教育活动。</w:t>
            </w:r>
          </w:p>
        </w:tc>
        <w:tc>
          <w:tcPr>
            <w:tcW w:w="69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68E4951">
            <w:pPr>
              <w:wordWrap w:val="0"/>
              <w:spacing w:line="260" w:lineRule="exact"/>
              <w:jc w:val="center"/>
              <w:rPr>
                <w:rFonts w:cs="Times New Roman"/>
                <w:b w:val="0"/>
                <w:bCs/>
                <w:color w:val="555555"/>
                <w:highlight w:val="none"/>
                <w:u w:val="none"/>
              </w:rPr>
            </w:pPr>
          </w:p>
        </w:tc>
      </w:tr>
      <w:tr w14:paraId="104A6EB2">
        <w:tblPrEx>
          <w:tblCellMar>
            <w:top w:w="0" w:type="dxa"/>
            <w:left w:w="0" w:type="dxa"/>
            <w:bottom w:w="0" w:type="dxa"/>
            <w:right w:w="0" w:type="dxa"/>
          </w:tblCellMar>
        </w:tblPrEx>
        <w:trPr>
          <w:trHeight w:val="674" w:hRule="atLeast"/>
        </w:trPr>
        <w:tc>
          <w:tcPr>
            <w:tcW w:w="136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10F64CF">
            <w:pPr>
              <w:wordWrap w:val="0"/>
              <w:spacing w:line="260" w:lineRule="exact"/>
              <w:jc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校园危机事件应对（</w:t>
            </w:r>
            <w:r>
              <w:rPr>
                <w:rFonts w:hint="eastAsia" w:ascii="楷体" w:hAnsi="楷体" w:eastAsia="楷体" w:cs="楷体"/>
                <w:b w:val="0"/>
                <w:bCs/>
                <w:color w:val="555555"/>
                <w:highlight w:val="none"/>
                <w:u w:val="none"/>
                <w:lang w:val="en-US"/>
              </w:rPr>
              <w:t>5</w:t>
            </w:r>
            <w:r>
              <w:rPr>
                <w:rFonts w:hint="eastAsia" w:ascii="楷体" w:hAnsi="楷体" w:eastAsia="楷体" w:cs="楷体"/>
                <w:b w:val="0"/>
                <w:bCs/>
                <w:color w:val="555555"/>
                <w:highlight w:val="none"/>
                <w:u w:val="none"/>
              </w:rPr>
              <w:t>分）</w:t>
            </w: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031AB59">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安全教育活动危机事件处理</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568CBFD">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利用重要节点组织开展安全教育活动；对于危机事件早发现、早处置，且处理方式妥当。</w:t>
            </w:r>
          </w:p>
        </w:tc>
        <w:tc>
          <w:tcPr>
            <w:tcW w:w="69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2A6E8CD">
            <w:pPr>
              <w:wordWrap w:val="0"/>
              <w:spacing w:line="260" w:lineRule="exact"/>
              <w:jc w:val="center"/>
              <w:rPr>
                <w:rFonts w:cs="Times New Roman"/>
                <w:b w:val="0"/>
                <w:bCs/>
                <w:color w:val="555555"/>
                <w:highlight w:val="none"/>
                <w:u w:val="none"/>
              </w:rPr>
            </w:pPr>
            <w:r>
              <w:rPr>
                <w:rFonts w:cs="Times New Roman"/>
                <w:b w:val="0"/>
                <w:bCs/>
                <w:color w:val="555555"/>
                <w:highlight w:val="none"/>
                <w:u w:val="none"/>
              </w:rPr>
              <w:t> </w:t>
            </w:r>
          </w:p>
        </w:tc>
      </w:tr>
      <w:tr w14:paraId="58BFE5E3">
        <w:tblPrEx>
          <w:tblCellMar>
            <w:top w:w="0" w:type="dxa"/>
            <w:left w:w="0" w:type="dxa"/>
            <w:bottom w:w="0" w:type="dxa"/>
            <w:right w:w="0" w:type="dxa"/>
          </w:tblCellMar>
        </w:tblPrEx>
        <w:trPr>
          <w:trHeight w:val="592" w:hRule="atLeast"/>
        </w:trPr>
        <w:tc>
          <w:tcPr>
            <w:tcW w:w="1367" w:type="dxa"/>
            <w:tcBorders>
              <w:top w:val="single" w:color="auto" w:sz="4" w:space="0"/>
              <w:left w:val="single" w:color="auto" w:sz="4" w:space="0"/>
              <w:bottom w:val="single" w:color="auto" w:sz="4" w:space="0"/>
              <w:right w:val="single" w:color="auto" w:sz="4" w:space="0"/>
            </w:tcBorders>
            <w:vAlign w:val="center"/>
          </w:tcPr>
          <w:p w14:paraId="7E166AF5">
            <w:pPr>
              <w:wordWrap w:val="0"/>
              <w:spacing w:line="260" w:lineRule="exact"/>
              <w:jc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职业规划与就业指导（</w:t>
            </w:r>
            <w:r>
              <w:rPr>
                <w:rFonts w:hint="eastAsia" w:ascii="楷体" w:hAnsi="楷体" w:eastAsia="楷体" w:cs="楷体"/>
                <w:b w:val="0"/>
                <w:bCs/>
                <w:color w:val="555555"/>
                <w:highlight w:val="none"/>
                <w:u w:val="none"/>
                <w:lang w:val="en-US"/>
              </w:rPr>
              <w:t>5</w:t>
            </w:r>
            <w:r>
              <w:rPr>
                <w:rFonts w:hint="eastAsia" w:ascii="楷体" w:hAnsi="楷体" w:eastAsia="楷体" w:cs="楷体"/>
                <w:b w:val="0"/>
                <w:bCs/>
                <w:color w:val="555555"/>
                <w:highlight w:val="none"/>
                <w:u w:val="none"/>
              </w:rPr>
              <w:t>分）</w:t>
            </w: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16D56AB">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就业指导</w:t>
            </w:r>
          </w:p>
          <w:p w14:paraId="65B9341E">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与就业服务</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F4AE617">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组织开展职业生涯规划和就业指导类教育活动；为学生提供个性化咨询指导并提供就业服务。</w:t>
            </w:r>
          </w:p>
        </w:tc>
        <w:tc>
          <w:tcPr>
            <w:tcW w:w="69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6601CAC">
            <w:pPr>
              <w:wordWrap w:val="0"/>
              <w:spacing w:line="260" w:lineRule="exact"/>
              <w:jc w:val="center"/>
              <w:rPr>
                <w:rFonts w:cs="Times New Roman"/>
                <w:b w:val="0"/>
                <w:bCs/>
                <w:color w:val="555555"/>
                <w:highlight w:val="none"/>
                <w:u w:val="none"/>
              </w:rPr>
            </w:pPr>
          </w:p>
        </w:tc>
      </w:tr>
      <w:tr w14:paraId="335ADCE7">
        <w:tblPrEx>
          <w:tblCellMar>
            <w:top w:w="0" w:type="dxa"/>
            <w:left w:w="0" w:type="dxa"/>
            <w:bottom w:w="0" w:type="dxa"/>
            <w:right w:w="0" w:type="dxa"/>
          </w:tblCellMar>
        </w:tblPrEx>
        <w:trPr>
          <w:trHeight w:val="772" w:hRule="atLeast"/>
        </w:trPr>
        <w:tc>
          <w:tcPr>
            <w:tcW w:w="1367" w:type="dxa"/>
            <w:tcBorders>
              <w:top w:val="single" w:color="auto" w:sz="4" w:space="0"/>
              <w:left w:val="single" w:color="auto" w:sz="4" w:space="0"/>
              <w:bottom w:val="single" w:color="auto" w:sz="4" w:space="0"/>
              <w:right w:val="single" w:color="auto" w:sz="4" w:space="0"/>
            </w:tcBorders>
            <w:vAlign w:val="center"/>
          </w:tcPr>
          <w:p w14:paraId="66EF95C9">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理论和实践研究（</w:t>
            </w:r>
            <w:r>
              <w:rPr>
                <w:rFonts w:hint="eastAsia" w:ascii="楷体" w:hAnsi="楷体" w:eastAsia="楷体" w:cs="楷体"/>
                <w:b w:val="0"/>
                <w:bCs/>
                <w:color w:val="555555"/>
                <w:highlight w:val="none"/>
                <w:u w:val="none"/>
                <w:lang w:val="en-US"/>
              </w:rPr>
              <w:t>5</w:t>
            </w:r>
            <w:r>
              <w:rPr>
                <w:rFonts w:hint="eastAsia" w:ascii="楷体" w:hAnsi="楷体" w:eastAsia="楷体" w:cs="楷体"/>
                <w:b w:val="0"/>
                <w:bCs/>
                <w:color w:val="555555"/>
                <w:highlight w:val="none"/>
                <w:u w:val="none"/>
              </w:rPr>
              <w:t>分）</w:t>
            </w:r>
          </w:p>
        </w:tc>
        <w:tc>
          <w:tcPr>
            <w:tcW w:w="188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3F182B0">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学习培训</w:t>
            </w:r>
          </w:p>
          <w:p w14:paraId="1CE05F53">
            <w:pPr>
              <w:wordWrap w:val="0"/>
              <w:spacing w:line="260" w:lineRule="exact"/>
              <w:jc w:val="center"/>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与科学研究</w:t>
            </w:r>
          </w:p>
        </w:tc>
        <w:tc>
          <w:tcPr>
            <w:tcW w:w="582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4323D37">
            <w:pPr>
              <w:wordWrap w:val="0"/>
              <w:spacing w:line="260" w:lineRule="exact"/>
              <w:textAlignment w:val="center"/>
              <w:rPr>
                <w:rFonts w:ascii="楷体" w:hAnsi="楷体" w:eastAsia="楷体" w:cs="楷体"/>
                <w:b w:val="0"/>
                <w:bCs/>
                <w:color w:val="555555"/>
                <w:highlight w:val="none"/>
                <w:u w:val="none"/>
              </w:rPr>
            </w:pPr>
            <w:r>
              <w:rPr>
                <w:rFonts w:hint="eastAsia" w:ascii="楷体" w:hAnsi="楷体" w:eastAsia="楷体" w:cs="楷体"/>
                <w:b w:val="0"/>
                <w:bCs/>
                <w:color w:val="555555"/>
                <w:highlight w:val="none"/>
                <w:u w:val="none"/>
              </w:rPr>
              <w:t>积极参加学校组织的各种培训，认真完成培训任务；每年发表一篇论文或积极参与思想政治教育课题、项目研究。</w:t>
            </w:r>
          </w:p>
        </w:tc>
        <w:tc>
          <w:tcPr>
            <w:tcW w:w="69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6A7D14D">
            <w:pPr>
              <w:wordWrap w:val="0"/>
              <w:spacing w:line="260" w:lineRule="exact"/>
              <w:jc w:val="center"/>
              <w:rPr>
                <w:rFonts w:cs="Times New Roman"/>
                <w:b w:val="0"/>
                <w:bCs/>
                <w:color w:val="555555"/>
                <w:highlight w:val="none"/>
                <w:u w:val="none"/>
              </w:rPr>
            </w:pPr>
          </w:p>
        </w:tc>
      </w:tr>
      <w:tr w14:paraId="361CB136">
        <w:tblPrEx>
          <w:tblCellMar>
            <w:top w:w="0" w:type="dxa"/>
            <w:left w:w="0" w:type="dxa"/>
            <w:bottom w:w="0" w:type="dxa"/>
            <w:right w:w="0" w:type="dxa"/>
          </w:tblCellMar>
        </w:tblPrEx>
        <w:trPr>
          <w:trHeight w:val="526" w:hRule="atLeast"/>
        </w:trPr>
        <w:tc>
          <w:tcPr>
            <w:tcW w:w="9083" w:type="dxa"/>
            <w:gridSpan w:val="3"/>
            <w:tcBorders>
              <w:top w:val="single" w:color="auto" w:sz="4" w:space="0"/>
              <w:left w:val="single" w:color="auto" w:sz="4" w:space="0"/>
              <w:bottom w:val="single" w:color="auto" w:sz="4" w:space="0"/>
              <w:right w:val="single" w:color="auto" w:sz="4" w:space="0"/>
            </w:tcBorders>
            <w:vAlign w:val="center"/>
          </w:tcPr>
          <w:p w14:paraId="2EED51D0">
            <w:pPr>
              <w:wordWrap w:val="0"/>
              <w:spacing w:line="260" w:lineRule="exact"/>
              <w:jc w:val="center"/>
              <w:textAlignment w:val="center"/>
              <w:rPr>
                <w:rFonts w:eastAsia="黑体"/>
                <w:b w:val="0"/>
                <w:bCs/>
                <w:color w:val="555555"/>
                <w:sz w:val="24"/>
                <w:szCs w:val="24"/>
                <w:highlight w:val="none"/>
                <w:u w:val="none"/>
              </w:rPr>
            </w:pPr>
            <w:r>
              <w:rPr>
                <w:rFonts w:hint="eastAsia" w:ascii="黑体" w:hAnsi="黑体" w:eastAsia="黑体" w:cs="黑体"/>
                <w:b w:val="0"/>
                <w:bCs/>
                <w:color w:val="555555"/>
                <w:sz w:val="24"/>
                <w:szCs w:val="24"/>
                <w:highlight w:val="none"/>
                <w:u w:val="none"/>
              </w:rPr>
              <w:t>总分（</w:t>
            </w:r>
            <w:r>
              <w:rPr>
                <w:rFonts w:hint="eastAsia" w:ascii="黑体" w:hAnsi="黑体" w:eastAsia="黑体" w:cs="黑体"/>
                <w:b w:val="0"/>
                <w:bCs/>
                <w:color w:val="555555"/>
                <w:sz w:val="24"/>
                <w:szCs w:val="24"/>
                <w:highlight w:val="none"/>
                <w:u w:val="none"/>
                <w:lang w:val="en-US"/>
              </w:rPr>
              <w:t>100分</w:t>
            </w:r>
            <w:r>
              <w:rPr>
                <w:rFonts w:hint="eastAsia" w:ascii="黑体" w:hAnsi="黑体" w:eastAsia="黑体" w:cs="黑体"/>
                <w:b w:val="0"/>
                <w:bCs/>
                <w:color w:val="555555"/>
                <w:sz w:val="24"/>
                <w:szCs w:val="24"/>
                <w:highlight w:val="none"/>
                <w:u w:val="none"/>
              </w:rPr>
              <w:t>）</w:t>
            </w:r>
          </w:p>
        </w:tc>
        <w:tc>
          <w:tcPr>
            <w:tcW w:w="69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87948E0">
            <w:pPr>
              <w:wordWrap w:val="0"/>
              <w:spacing w:line="260" w:lineRule="exact"/>
              <w:jc w:val="center"/>
              <w:rPr>
                <w:rFonts w:cs="Times New Roman"/>
                <w:b w:val="0"/>
                <w:bCs/>
                <w:color w:val="555555"/>
                <w:sz w:val="24"/>
                <w:szCs w:val="24"/>
                <w:highlight w:val="none"/>
                <w:u w:val="none"/>
              </w:rPr>
            </w:pPr>
          </w:p>
        </w:tc>
      </w:tr>
    </w:tbl>
    <w:p w14:paraId="305043CE">
      <w:pPr>
        <w:rPr>
          <w:b w:val="0"/>
          <w:bCs/>
          <w:sz w:val="30"/>
          <w:szCs w:val="30"/>
          <w:highlight w:val="none"/>
          <w:u w:val="none"/>
        </w:rPr>
        <w:sectPr>
          <w:headerReference r:id="rId3" w:type="default"/>
          <w:pgSz w:w="11906" w:h="16838"/>
          <w:pgMar w:top="720" w:right="720" w:bottom="720" w:left="720" w:header="851" w:footer="992" w:gutter="0"/>
          <w:cols w:space="0" w:num="1"/>
          <w:docGrid w:type="lines" w:linePitch="319" w:charSpace="0"/>
        </w:sectPr>
      </w:pPr>
    </w:p>
    <w:p w14:paraId="5CA35076">
      <w:pPr>
        <w:tabs>
          <w:tab w:val="left" w:pos="3000"/>
        </w:tabs>
        <w:rPr>
          <w:b w:val="0"/>
          <w:bCs/>
          <w:sz w:val="30"/>
          <w:szCs w:val="30"/>
          <w:highlight w:val="none"/>
          <w:u w:val="none"/>
        </w:rPr>
        <w:sectPr>
          <w:type w:val="continuous"/>
          <w:pgSz w:w="11906" w:h="16838"/>
          <w:pgMar w:top="1440" w:right="1803" w:bottom="1440" w:left="1803" w:header="851" w:footer="992" w:gutter="0"/>
          <w:cols w:space="0" w:num="1"/>
          <w:docGrid w:type="lines" w:linePitch="319" w:charSpace="0"/>
        </w:sectPr>
      </w:pPr>
    </w:p>
    <w:p w14:paraId="53C24119">
      <w:pPr>
        <w:tabs>
          <w:tab w:val="left" w:pos="3000"/>
        </w:tabs>
        <w:rPr>
          <w:b w:val="0"/>
          <w:bCs/>
          <w:sz w:val="30"/>
          <w:szCs w:val="30"/>
          <w:highlight w:val="none"/>
          <w:u w:val="none"/>
        </w:rPr>
        <w:sectPr>
          <w:type w:val="continuous"/>
          <w:pgSz w:w="11906" w:h="16838"/>
          <w:pgMar w:top="1440" w:right="1803" w:bottom="1440" w:left="1803" w:header="851" w:footer="992" w:gutter="0"/>
          <w:cols w:space="0" w:num="1"/>
          <w:docGrid w:type="lines" w:linePitch="319" w:charSpace="0"/>
        </w:sectPr>
      </w:pPr>
    </w:p>
    <w:p w14:paraId="7772B2F3">
      <w:bookmarkStart w:id="0" w:name="_GoBack"/>
      <w:bookmarkEnd w:id="0"/>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AF8AB">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2005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NGE5MzUzODA2NmVhOGVmZTMzYWIzYzk3ZTgyYTMifQ=="/>
  </w:docVars>
  <w:rsids>
    <w:rsidRoot w:val="6D807879"/>
    <w:rsid w:val="6D807879"/>
    <w:rsid w:val="76656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header"/>
    <w:basedOn w:val="1"/>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qFormat/>
    <w:uiPriority w:val="99"/>
    <w:pPr>
      <w:widowControl/>
      <w:spacing w:before="100" w:beforeAutospacing="1" w:after="100" w:afterAutospacing="1" w:line="360" w:lineRule="auto"/>
    </w:pPr>
    <w:rPr>
      <w:rFonts w:ascii="宋体" w:hAnsi="宋体" w:cs="宋体"/>
      <w:sz w:val="24"/>
      <w:szCs w:val="24"/>
    </w:rPr>
  </w:style>
  <w:style w:type="character" w:styleId="7">
    <w:name w:val="Strong"/>
    <w:basedOn w:val="6"/>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2024-07-23T05:56:00Z</dcterms:created>
  <dc:creator>杨楠</dc:creator>
  <cp:lastModifiedBy>杨楠</cp:lastModifiedBy>
  <dcterms:modified xsi:type="dcterms:W3CDTF">2024-07-23T05:57:22Z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8BA8917822294869A0271A4268AB3DCB_13</vt:lpwstr>
  </property>
</Properties>
</file>