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480"/>
        <w:jc w:val="left"/>
        <w:rPr>
          <w:rFonts w:hint="default" w:ascii="仿宋" w:hAnsi="仿宋" w:eastAsia="仿宋" w:cs="仿宋"/>
          <w:sz w:val="28"/>
          <w:szCs w:val="28"/>
          <w:highlight w:val="yellow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yellow"/>
          <w:lang w:val="en-US" w:eastAsia="zh-CN" w:bidi="ar"/>
        </w:rPr>
        <w:t>主要内容包括：评审依据、评审程序、公示情况和评审结果等情况，内容要具体详实。评审报告须以学院正式文件加盖党总支公章报送学生工作处。 其他材料也请加盖党总支公章。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137B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2023-12-25T07:05:09Z</dcterms:created>
  <dc:creator>Administrator</dc:creator>
  <cp:lastModifiedBy>旺旺</cp:lastModifiedBy>
  <dcterms:modified xsi:type="dcterms:W3CDTF">2023-12-25T07:05:30Z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92007DF7B5B24C21B5AFE91CDA1BF669_12</vt:lpwstr>
  </property>
</Properties>
</file>