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9FD92">
      <w:pPr>
        <w:pageBreakBefore w:val="0"/>
        <w:kinsoku/>
        <w:wordWrap/>
        <w:overflowPunct/>
        <w:topLinePunct w:val="0"/>
        <w:autoSpaceDE/>
        <w:autoSpaceDN/>
        <w:bidi w:val="0"/>
        <w:adjustRightInd w:val="0"/>
        <w:snapToGrid w:val="0"/>
        <w:spacing w:beforeAutospacing="0" w:afterAutospacing="0" w:line="360" w:lineRule="auto"/>
        <w:jc w:val="center"/>
        <w:textAlignment w:val="auto"/>
        <w:rPr>
          <w:rStyle w:val="9"/>
          <w:rFonts w:hint="eastAsia" w:ascii="宋体" w:hAnsi="宋体" w:eastAsia="宋体" w:cs="宋体"/>
          <w:color w:val="auto"/>
          <w:kern w:val="0"/>
          <w:sz w:val="32"/>
          <w:szCs w:val="32"/>
          <w:lang w:val="en-US" w:eastAsia="zh-CN" w:bidi="ar"/>
        </w:rPr>
      </w:pPr>
      <w:r>
        <w:rPr>
          <w:rStyle w:val="9"/>
          <w:rFonts w:hint="eastAsia" w:ascii="宋体" w:hAnsi="宋体" w:eastAsia="宋体" w:cs="宋体"/>
          <w:color w:val="auto"/>
          <w:kern w:val="0"/>
          <w:sz w:val="32"/>
          <w:szCs w:val="32"/>
          <w:lang w:val="en-US" w:eastAsia="zh-CN" w:bidi="ar"/>
        </w:rPr>
        <w:t>2025年安徽商贸职业技术学院</w:t>
      </w:r>
    </w:p>
    <w:p w14:paraId="096038FB">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jc w:val="center"/>
        <w:textAlignment w:val="auto"/>
        <w:rPr>
          <w:rStyle w:val="9"/>
          <w:rFonts w:hint="default" w:ascii="宋体" w:hAnsi="宋体" w:eastAsia="宋体" w:cs="宋体"/>
          <w:color w:val="auto"/>
          <w:kern w:val="0"/>
          <w:sz w:val="32"/>
          <w:szCs w:val="32"/>
          <w:lang w:val="en-US" w:eastAsia="zh-CN" w:bidi="ar"/>
        </w:rPr>
      </w:pPr>
      <w:r>
        <w:rPr>
          <w:rStyle w:val="9"/>
          <w:rFonts w:hint="eastAsia" w:ascii="宋体" w:hAnsi="宋体" w:eastAsia="宋体" w:cs="宋体"/>
          <w:color w:val="auto"/>
          <w:kern w:val="0"/>
          <w:sz w:val="32"/>
          <w:szCs w:val="32"/>
          <w:lang w:val="en-US" w:eastAsia="zh-CN" w:bidi="ar"/>
        </w:rPr>
        <w:t>低代码一体化开发基座项目方案及参数</w:t>
      </w:r>
    </w:p>
    <w:p w14:paraId="6A815185">
      <w:pPr>
        <w:pageBreakBefore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auto"/>
          <w:sz w:val="21"/>
          <w:szCs w:val="21"/>
          <w:lang w:val="en-US" w:eastAsia="zh-CN"/>
        </w:rPr>
      </w:pPr>
    </w:p>
    <w:p w14:paraId="7C75CAF0">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项目名称</w:t>
      </w:r>
    </w:p>
    <w:p w14:paraId="46B8A224">
      <w:pPr>
        <w:pageBreakBefore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2025年安徽商贸职业技术学院低代码一体化开发基座</w:t>
      </w:r>
    </w:p>
    <w:p w14:paraId="4D990318">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项目背景</w:t>
      </w:r>
    </w:p>
    <w:p w14:paraId="7D35131E">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随着信息化建设的不断推进，学校在日常管理、知识资源利用以及其他业务应用方面对数字化平台的需求日益增加。传统的信息管理系统无法满足学校灵活、多样化、快速响应的需求，且常常面临系统开发周期长、定制化能力不足和维护困难等问题。为此，学校迫切需要一种能够灵活应对多元化需求、提升开发效率并支持长期可持续发展的数字化平台。</w:t>
      </w:r>
    </w:p>
    <w:p w14:paraId="32293B6C">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低代码一体化开发基座</w:t>
      </w:r>
      <w:r>
        <w:rPr>
          <w:rFonts w:hint="eastAsia" w:ascii="宋体" w:hAnsi="宋体" w:eastAsia="宋体" w:cs="宋体"/>
          <w:color w:val="auto"/>
          <w:sz w:val="21"/>
          <w:szCs w:val="21"/>
        </w:rPr>
        <w:t>作为一种创新技术，能够通过可视化、拖拽式的方式实现应用开发，大幅降低开发门槛，提升开发效率，且具备高度的灵活性和可扩展性。通过</w:t>
      </w:r>
      <w:r>
        <w:rPr>
          <w:rFonts w:hint="eastAsia" w:ascii="宋体" w:hAnsi="宋体" w:eastAsia="宋体" w:cs="宋体"/>
          <w:color w:val="auto"/>
          <w:sz w:val="21"/>
          <w:szCs w:val="21"/>
          <w:lang w:eastAsia="zh-CN"/>
        </w:rPr>
        <w:t>低代码一体化开发基座</w:t>
      </w:r>
      <w:r>
        <w:rPr>
          <w:rFonts w:hint="eastAsia" w:ascii="宋体" w:hAnsi="宋体" w:eastAsia="宋体" w:cs="宋体"/>
          <w:color w:val="auto"/>
          <w:sz w:val="21"/>
          <w:szCs w:val="21"/>
        </w:rPr>
        <w:t>，学校不仅能够快速构建各类专题应用，满足日常管理与部门个性化需求，还能够实现校内系统的自主开发与优化，适应多变的业务场景。</w:t>
      </w:r>
    </w:p>
    <w:p w14:paraId="08468F0B">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同时，随着非结构化数据的持续积累和对智能化知识服务需求的增长，学校急需建设统一的AI知识服务平台，支撑文档解读、智能问答、知识查阅、数据广场等多类型知识服务场景。平台将有效整合结构化与非结构化资源，打通部门知识壁垒，助力师生高效获取、理解和利用知识信息，提升教学、科研与管理的智能化水平，并能够深度融入到基于低代码开发的各种智能应用，提升应用使用的快捷性与方便性。</w:t>
      </w:r>
    </w:p>
    <w:p w14:paraId="151046B6">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项目目标</w:t>
      </w:r>
    </w:p>
    <w:p w14:paraId="3AAB6118">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本项目旨在通过建设灵活、可配置、可扩展的</w:t>
      </w:r>
      <w:r>
        <w:rPr>
          <w:rFonts w:hint="eastAsia" w:ascii="宋体" w:hAnsi="宋体" w:eastAsia="宋体" w:cs="宋体"/>
          <w:color w:val="auto"/>
          <w:sz w:val="21"/>
          <w:szCs w:val="21"/>
          <w:lang w:val="en-US" w:eastAsia="zh-CN"/>
        </w:rPr>
        <w:t>AI</w:t>
      </w:r>
      <w:r>
        <w:rPr>
          <w:rFonts w:hint="eastAsia" w:ascii="宋体" w:hAnsi="宋体" w:eastAsia="宋体" w:cs="宋体"/>
          <w:color w:val="auto"/>
          <w:sz w:val="21"/>
          <w:szCs w:val="21"/>
        </w:rPr>
        <w:t>低代码</w:t>
      </w:r>
      <w:r>
        <w:rPr>
          <w:rFonts w:hint="eastAsia" w:ascii="宋体" w:hAnsi="宋体" w:eastAsia="宋体" w:cs="宋体"/>
          <w:color w:val="auto"/>
          <w:sz w:val="21"/>
          <w:szCs w:val="21"/>
          <w:lang w:val="en-US" w:eastAsia="zh-CN"/>
        </w:rPr>
        <w:t>一体化开发基座</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将大语言模型能力和低代码应用开发技术进行融合，以更智能的方式搭建更智能的应用，</w:t>
      </w:r>
      <w:r>
        <w:rPr>
          <w:rFonts w:hint="eastAsia" w:ascii="宋体" w:hAnsi="宋体" w:eastAsia="宋体" w:cs="宋体"/>
          <w:color w:val="auto"/>
          <w:sz w:val="21"/>
          <w:szCs w:val="21"/>
        </w:rPr>
        <w:t>为学校提供高效的数字化应用开发支持，推动学校信息化建设的转型与升级。同时，建设统一、智能的AI知识服务平台，打造以多源知识聚合、智能理解与精准服务为核心的知识支撑体系，满足教学、科研、管理等多场景的知识获取与服务需求。</w:t>
      </w:r>
    </w:p>
    <w:p w14:paraId="4C9B27C4">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为了确保平台的长期可用性和高效性，项目将提供全面的运营支持服务，包括</w:t>
      </w:r>
      <w:r>
        <w:rPr>
          <w:rFonts w:hint="eastAsia" w:ascii="宋体" w:hAnsi="宋体" w:eastAsia="宋体" w:cs="宋体"/>
          <w:color w:val="auto"/>
          <w:sz w:val="21"/>
          <w:szCs w:val="21"/>
          <w:lang w:val="en-US" w:eastAsia="zh-CN"/>
        </w:rPr>
        <w:t>应用搭建服务、</w:t>
      </w:r>
      <w:r>
        <w:rPr>
          <w:rFonts w:hint="eastAsia" w:ascii="宋体" w:hAnsi="宋体" w:eastAsia="宋体" w:cs="宋体"/>
          <w:color w:val="auto"/>
          <w:sz w:val="21"/>
          <w:szCs w:val="21"/>
        </w:rPr>
        <w:t>需求设计咨询、低代码技术培训和开发指导，帮助校内团队提升自主开发与知识服务平台运营能力。通过培训和技术支持，校内师生能够快速掌握</w:t>
      </w:r>
      <w:r>
        <w:rPr>
          <w:rFonts w:hint="eastAsia" w:ascii="宋体" w:hAnsi="宋体" w:eastAsia="宋体" w:cs="宋体"/>
          <w:color w:val="auto"/>
          <w:sz w:val="21"/>
          <w:szCs w:val="21"/>
          <w:lang w:eastAsia="zh-CN"/>
        </w:rPr>
        <w:t>低代码一体化开发基座</w:t>
      </w:r>
      <w:r>
        <w:rPr>
          <w:rFonts w:hint="eastAsia" w:ascii="宋体" w:hAnsi="宋体" w:eastAsia="宋体" w:cs="宋体"/>
          <w:color w:val="auto"/>
          <w:sz w:val="21"/>
          <w:szCs w:val="21"/>
        </w:rPr>
        <w:t>的开发技能及知识平台的使用方法，独立完成应用开发、系统配置与资源管理。</w:t>
      </w:r>
    </w:p>
    <w:p w14:paraId="19B72AE3">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还将推动学校构建自主、灵活且可持续的数字化建设模式，作为数字化转型整体布局的重要组成部分，形成“综合平台+智能服务+轻量化响应”的新建设格局。通过该模式，学校将能够快速响应业务需求，优化工作流程，提升知识获取与服务效率，最终实现全方位的数字化转型，为学校的信息化建设提供长期可持续发展的支撑。</w:t>
      </w:r>
    </w:p>
    <w:p w14:paraId="320885AD">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p>
    <w:p w14:paraId="3EB484E0">
      <w:pPr>
        <w:pStyle w:val="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420" w:leftChars="0" w:right="0" w:rightChars="0"/>
        <w:jc w:val="left"/>
        <w:textAlignment w:val="auto"/>
        <w:rPr>
          <w:rFonts w:hint="eastAsia" w:eastAsiaTheme="minorEastAsia"/>
          <w:b/>
          <w:bCs/>
          <w:color w:val="auto"/>
          <w:sz w:val="21"/>
          <w:szCs w:val="21"/>
          <w:lang w:eastAsia="zh-CN"/>
        </w:rPr>
      </w:pPr>
      <w:r>
        <w:rPr>
          <w:b/>
          <w:bCs/>
          <w:color w:val="auto"/>
          <w:sz w:val="21"/>
          <w:szCs w:val="21"/>
        </w:rPr>
        <w:t xml:space="preserve">(1) </w:t>
      </w:r>
      <w:r>
        <w:rPr>
          <w:rFonts w:hint="eastAsia"/>
          <w:b/>
          <w:bCs/>
          <w:color w:val="auto"/>
          <w:sz w:val="21"/>
          <w:szCs w:val="21"/>
        </w:rPr>
        <w:t>可扩展的</w:t>
      </w:r>
      <w:r>
        <w:rPr>
          <w:rFonts w:hint="eastAsia"/>
          <w:b/>
          <w:bCs/>
          <w:color w:val="auto"/>
          <w:sz w:val="21"/>
          <w:szCs w:val="21"/>
          <w:lang w:val="en-US" w:eastAsia="zh-CN"/>
        </w:rPr>
        <w:t>AI</w:t>
      </w:r>
      <w:r>
        <w:rPr>
          <w:rFonts w:hint="eastAsia"/>
          <w:b/>
          <w:bCs/>
          <w:color w:val="auto"/>
          <w:sz w:val="21"/>
          <w:szCs w:val="21"/>
        </w:rPr>
        <w:t>低代码</w:t>
      </w:r>
      <w:r>
        <w:rPr>
          <w:rFonts w:hint="eastAsia"/>
          <w:b/>
          <w:bCs/>
          <w:color w:val="auto"/>
          <w:sz w:val="21"/>
          <w:szCs w:val="21"/>
          <w:lang w:val="en-US" w:eastAsia="zh-CN"/>
        </w:rPr>
        <w:t>一体化开发基座</w:t>
      </w:r>
    </w:p>
    <w:p w14:paraId="25D63E88">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本项目将建设一个灵活、可配置且可扩展的</w:t>
      </w:r>
      <w:r>
        <w:rPr>
          <w:rFonts w:hint="eastAsia" w:ascii="宋体" w:hAnsi="宋体" w:eastAsia="宋体" w:cs="宋体"/>
          <w:color w:val="auto"/>
          <w:sz w:val="21"/>
          <w:szCs w:val="21"/>
          <w:lang w:val="en-US" w:eastAsia="zh-CN"/>
        </w:rPr>
        <w:t>AI</w:t>
      </w:r>
      <w:r>
        <w:rPr>
          <w:rFonts w:hint="eastAsia" w:ascii="宋体" w:hAnsi="宋体" w:eastAsia="宋体" w:cs="宋体"/>
          <w:color w:val="auto"/>
          <w:sz w:val="21"/>
          <w:szCs w:val="21"/>
          <w:lang w:eastAsia="zh-CN"/>
        </w:rPr>
        <w:t>低代码一体化开发基座</w:t>
      </w:r>
      <w:r>
        <w:rPr>
          <w:rFonts w:hint="eastAsia" w:ascii="宋体" w:hAnsi="宋体" w:eastAsia="宋体" w:cs="宋体"/>
          <w:color w:val="auto"/>
          <w:sz w:val="21"/>
          <w:szCs w:val="21"/>
        </w:rPr>
        <w:t>，支持多租户环境和多种应用场景，确保学校能够根据不同业务需求快速构建和部署应用。平台</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具备强大功能的开发平台，基于云原生架构，支持分布式、微服务架构，前后端分离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内置智能AI能力，集成多种AI组件，实现自然语言驱动的生成式构建与能力编排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功能体系涵盖智能搭建、无代码、低代码、全代码开发平台，以及运维平台、应用云商店和组件中心，可满足从简单到复杂的多样化开发需求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项目实施遵循科学方法，由专业团队负责，提供技术支持与维护保障。帮助校内团队高效定制和交付各类专题</w:t>
      </w:r>
      <w:r>
        <w:rPr>
          <w:rFonts w:hint="eastAsia" w:ascii="宋体" w:hAnsi="宋体" w:eastAsia="宋体" w:cs="宋体"/>
          <w:color w:val="auto"/>
          <w:sz w:val="21"/>
          <w:szCs w:val="21"/>
          <w:lang w:val="en-US" w:eastAsia="zh-CN"/>
        </w:rPr>
        <w:t>智能</w:t>
      </w:r>
      <w:r>
        <w:rPr>
          <w:rFonts w:hint="eastAsia" w:ascii="宋体" w:hAnsi="宋体" w:eastAsia="宋体" w:cs="宋体"/>
          <w:color w:val="auto"/>
          <w:sz w:val="21"/>
          <w:szCs w:val="21"/>
        </w:rPr>
        <w:t>应用，提升</w:t>
      </w:r>
      <w:r>
        <w:rPr>
          <w:rFonts w:hint="eastAsia" w:ascii="宋体" w:hAnsi="宋体" w:eastAsia="宋体" w:cs="宋体"/>
          <w:color w:val="auto"/>
          <w:sz w:val="21"/>
          <w:szCs w:val="21"/>
          <w:lang w:val="en-US" w:eastAsia="zh-CN"/>
        </w:rPr>
        <w:t>学校</w:t>
      </w:r>
      <w:r>
        <w:rPr>
          <w:rFonts w:hint="eastAsia" w:ascii="宋体" w:hAnsi="宋体" w:eastAsia="宋体" w:cs="宋体"/>
          <w:color w:val="auto"/>
          <w:sz w:val="21"/>
          <w:szCs w:val="21"/>
        </w:rPr>
        <w:t>数字化水平与效率</w:t>
      </w:r>
      <w:r>
        <w:rPr>
          <w:rFonts w:hint="eastAsia" w:ascii="宋体" w:hAnsi="宋体" w:eastAsia="宋体" w:cs="宋体"/>
          <w:color w:val="auto"/>
          <w:sz w:val="21"/>
          <w:szCs w:val="21"/>
          <w:lang w:eastAsia="zh-CN"/>
        </w:rPr>
        <w:t>。</w:t>
      </w:r>
    </w:p>
    <w:p w14:paraId="641A0D36">
      <w:pPr>
        <w:pStyle w:val="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420" w:leftChars="0" w:right="0" w:rightChars="0"/>
        <w:jc w:val="left"/>
        <w:textAlignment w:val="auto"/>
        <w:rPr>
          <w:rFonts w:hint="default" w:eastAsiaTheme="minorEastAsia"/>
          <w:b/>
          <w:bCs/>
          <w:color w:val="auto"/>
          <w:sz w:val="21"/>
          <w:szCs w:val="21"/>
          <w:lang w:val="en-US" w:eastAsia="zh-CN"/>
        </w:rPr>
      </w:pPr>
      <w:r>
        <w:rPr>
          <w:b/>
          <w:bCs/>
          <w:color w:val="auto"/>
          <w:sz w:val="21"/>
          <w:szCs w:val="21"/>
        </w:rPr>
        <w:t xml:space="preserve">(2) </w:t>
      </w:r>
      <w:r>
        <w:rPr>
          <w:rFonts w:hint="eastAsia"/>
          <w:b/>
          <w:bCs/>
          <w:color w:val="auto"/>
          <w:sz w:val="21"/>
          <w:szCs w:val="21"/>
          <w:lang w:val="en-US" w:eastAsia="zh-CN"/>
        </w:rPr>
        <w:t>打造AI知识服务平台，加速知识智能应用落地</w:t>
      </w:r>
    </w:p>
    <w:p w14:paraId="7F5A6403">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基于AI大模型与多文档处理能力，项目将建设统一的AI知识服务平台。平台覆盖文档解读助手、知识员工助手、知识查阅助手、数据广场、知识广场等应用模块。平台能够整合学校各类结构化与非结构化数据资源，对海量数据进行快速处理与分析。支持知识的统一聚合，将分散在学校各个系统和部门的知识进行集中管理；利用AI大模型的智能解析能力，对知识进行深度理解和分析，挖掘其中的关联和价值；同时，提供多方式调用接口，满足不同场景下师生对知识的获取需求。在智能知识获取与问答服务方面，确保AI大模型能够快速响应用户请求，结合多文档处理能力，准确理解师生的问题，并从整合的知识资源中精准匹配答案，实现面向全校师生的智能知识获取与问答服务。这不仅提升了知识获取的效率和准确性，还能根据用户的使用习惯和需求进行个性化推荐，全面提升学校的知识管理与服务智能化水平，为教学、科研和管理提供有力的知识支持。</w:t>
      </w:r>
    </w:p>
    <w:p w14:paraId="0DC079C6">
      <w:pPr>
        <w:pStyle w:val="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420" w:leftChars="0" w:right="0" w:rightChars="0"/>
        <w:jc w:val="left"/>
        <w:textAlignment w:val="auto"/>
        <w:rPr>
          <w:b/>
          <w:bCs/>
          <w:color w:val="auto"/>
          <w:sz w:val="21"/>
          <w:szCs w:val="21"/>
        </w:rPr>
      </w:pPr>
      <w:r>
        <w:rPr>
          <w:b/>
          <w:bCs/>
          <w:color w:val="auto"/>
          <w:sz w:val="21"/>
          <w:szCs w:val="21"/>
        </w:rPr>
        <w:t>(3) 构建协同研发体系，支持零散需求的灵活开发与迭代</w:t>
      </w:r>
    </w:p>
    <w:p w14:paraId="49B22492">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项目将构建协同研发体系，帮助学校快速响应各类零散或小场景的业务需求，提供定制化的需求设计咨询、</w:t>
      </w:r>
      <w:r>
        <w:rPr>
          <w:rFonts w:hint="eastAsia" w:ascii="宋体" w:hAnsi="宋体" w:eastAsia="宋体" w:cs="宋体"/>
          <w:color w:val="auto"/>
          <w:sz w:val="21"/>
          <w:szCs w:val="21"/>
          <w:lang w:val="en-US" w:eastAsia="zh-CN"/>
        </w:rPr>
        <w:t>应用搭建服务、</w:t>
      </w:r>
      <w:r>
        <w:rPr>
          <w:rFonts w:hint="eastAsia" w:ascii="宋体" w:hAnsi="宋体" w:eastAsia="宋体" w:cs="宋体"/>
          <w:color w:val="auto"/>
          <w:sz w:val="21"/>
          <w:szCs w:val="21"/>
        </w:rPr>
        <w:t>开发指导和技术支持。通过</w:t>
      </w:r>
      <w:r>
        <w:rPr>
          <w:rFonts w:hint="eastAsia" w:ascii="宋体" w:hAnsi="宋体" w:eastAsia="宋体" w:cs="宋体"/>
          <w:color w:val="auto"/>
          <w:sz w:val="21"/>
          <w:szCs w:val="21"/>
          <w:lang w:val="en-US" w:eastAsia="zh-CN"/>
        </w:rPr>
        <w:t>AI</w:t>
      </w:r>
      <w:r>
        <w:rPr>
          <w:rFonts w:hint="eastAsia" w:ascii="宋体" w:hAnsi="宋体" w:eastAsia="宋体" w:cs="宋体"/>
          <w:color w:val="auto"/>
          <w:sz w:val="21"/>
          <w:szCs w:val="21"/>
          <w:lang w:eastAsia="zh-CN"/>
        </w:rPr>
        <w:t>低代码一体化开发基座</w:t>
      </w:r>
      <w:r>
        <w:rPr>
          <w:rFonts w:hint="eastAsia" w:ascii="宋体" w:hAnsi="宋体" w:eastAsia="宋体" w:cs="宋体"/>
          <w:color w:val="auto"/>
          <w:sz w:val="21"/>
          <w:szCs w:val="21"/>
        </w:rPr>
        <w:t>，校内团队能够高效开发、灵活配置并持续优化应用；通过AI知识服务平台的持续运营能力，支持知识服务内容的不断迭代与优化，确保整体系统持续适应业务发展与用户需求的变化。</w:t>
      </w:r>
    </w:p>
    <w:p w14:paraId="2393904F">
      <w:pPr>
        <w:pStyle w:val="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Chars="0" w:right="0" w:rightChars="0" w:firstLine="420" w:firstLineChars="0"/>
        <w:jc w:val="left"/>
        <w:textAlignment w:val="auto"/>
        <w:rPr>
          <w:rFonts w:hint="eastAsia" w:ascii="宋体" w:hAnsi="宋体" w:eastAsia="宋体" w:cs="宋体"/>
          <w:color w:val="auto"/>
          <w:sz w:val="21"/>
          <w:szCs w:val="21"/>
        </w:rPr>
      </w:pPr>
    </w:p>
    <w:p w14:paraId="51A0E665">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项目预算编制依据</w:t>
      </w:r>
    </w:p>
    <w:p w14:paraId="6C2E0DAD">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本项目整体预算为60万元，预算编制依据包括项目实施各阶段的工作量、技术要求及服务内容，具体分配如下：</w:t>
      </w:r>
    </w:p>
    <w:p w14:paraId="5C6A9534">
      <w:pPr>
        <w:pStyle w:val="6"/>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Autospacing="0" w:afterAutospacing="0" w:line="360" w:lineRule="auto"/>
        <w:ind w:left="845" w:leftChars="0" w:hanging="425"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lang w:val="en-US" w:eastAsia="zh-CN"/>
        </w:rPr>
        <w:t>AI</w:t>
      </w:r>
      <w:r>
        <w:rPr>
          <w:rStyle w:val="9"/>
          <w:rFonts w:hint="eastAsia" w:ascii="宋体" w:hAnsi="宋体" w:eastAsia="宋体" w:cs="宋体"/>
          <w:color w:val="auto"/>
          <w:sz w:val="21"/>
          <w:szCs w:val="21"/>
          <w:lang w:eastAsia="zh-CN"/>
        </w:rPr>
        <w:t>低代码一体化开发基座</w:t>
      </w:r>
      <w:r>
        <w:rPr>
          <w:rStyle w:val="9"/>
          <w:rFonts w:hint="eastAsia" w:ascii="宋体" w:hAnsi="宋体" w:eastAsia="宋体" w:cs="宋体"/>
          <w:color w:val="auto"/>
          <w:sz w:val="21"/>
          <w:szCs w:val="21"/>
        </w:rPr>
        <w:t>建设与实施</w:t>
      </w:r>
    </w:p>
    <w:p w14:paraId="2B844AFB">
      <w:pPr>
        <w:keepNext w:val="0"/>
        <w:keepLines w:val="0"/>
        <w:pageBreakBefore w:val="0"/>
        <w:widowControl/>
        <w:numPr>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平台架构设计、系统集成与部署、数据对接与功能开发、平台定制化配置、多租户支持、</w:t>
      </w:r>
      <w:r>
        <w:rPr>
          <w:rFonts w:hint="eastAsia" w:ascii="宋体" w:hAnsi="宋体" w:eastAsia="宋体" w:cs="宋体"/>
          <w:color w:val="auto"/>
          <w:sz w:val="21"/>
          <w:szCs w:val="21"/>
          <w:lang w:val="en-US" w:eastAsia="zh-CN"/>
        </w:rPr>
        <w:t>AI工作流编排支持</w:t>
      </w:r>
      <w:r>
        <w:rPr>
          <w:rFonts w:hint="eastAsia" w:ascii="宋体" w:hAnsi="宋体" w:eastAsia="宋体" w:cs="宋体"/>
          <w:color w:val="auto"/>
          <w:sz w:val="21"/>
          <w:szCs w:val="21"/>
        </w:rPr>
        <w:t>与学校统一身份认证平台和一网通办系统对接等。</w:t>
      </w:r>
    </w:p>
    <w:p w14:paraId="3B3112D1">
      <w:pPr>
        <w:pStyle w:val="6"/>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Autospacing="0" w:afterAutospacing="0" w:line="360" w:lineRule="auto"/>
        <w:ind w:left="845" w:leftChars="0" w:hanging="425" w:firstLineChars="0"/>
        <w:jc w:val="left"/>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lang w:val="en-US" w:eastAsia="zh-CN"/>
        </w:rPr>
        <w:t>AI知识服务平台建设与实施</w:t>
      </w:r>
    </w:p>
    <w:p w14:paraId="47015C1A">
      <w:pPr>
        <w:keepNext w:val="0"/>
        <w:keepLines w:val="0"/>
        <w:pageBreakBefore w:val="0"/>
        <w:widowControl/>
        <w:numPr>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textAlignment w:val="auto"/>
        <w:rPr>
          <w:rStyle w:val="9"/>
          <w:rFonts w:hint="eastAsia" w:ascii="宋体" w:hAnsi="宋体" w:eastAsia="宋体" w:cs="宋体"/>
          <w:b w:val="0"/>
          <w:bCs/>
          <w:color w:val="auto"/>
          <w:sz w:val="21"/>
          <w:szCs w:val="21"/>
        </w:rPr>
      </w:pPr>
      <w:r>
        <w:rPr>
          <w:rStyle w:val="9"/>
          <w:rFonts w:hint="eastAsia" w:ascii="宋体" w:hAnsi="宋体" w:eastAsia="宋体" w:cs="宋体"/>
          <w:b w:val="0"/>
          <w:bCs/>
          <w:color w:val="auto"/>
          <w:sz w:val="21"/>
          <w:szCs w:val="21"/>
          <w:lang w:val="en-US" w:eastAsia="zh-CN"/>
        </w:rPr>
        <w:t>平台部署、核心模块（如校园百事通、文档解读、知识员工、知识查阅、数据管理、知识管理）配置，知识资源导入，支持结构化与非结构化数据接入，构建面向多场景的智能知识服务体系。</w:t>
      </w:r>
    </w:p>
    <w:p w14:paraId="2D62D78A">
      <w:pPr>
        <w:pStyle w:val="6"/>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Autospacing="0" w:afterAutospacing="0" w:line="360" w:lineRule="auto"/>
        <w:ind w:left="845" w:leftChars="0" w:hanging="425"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rPr>
        <w:t>零散需求</w:t>
      </w:r>
      <w:r>
        <w:rPr>
          <w:rStyle w:val="9"/>
          <w:rFonts w:hint="eastAsia" w:ascii="宋体" w:hAnsi="宋体" w:eastAsia="宋体" w:cs="宋体"/>
          <w:color w:val="auto"/>
          <w:sz w:val="21"/>
          <w:szCs w:val="21"/>
          <w:lang w:val="en-US" w:eastAsia="zh-CN"/>
        </w:rPr>
        <w:t>开发与</w:t>
      </w:r>
      <w:r>
        <w:rPr>
          <w:rStyle w:val="9"/>
          <w:rFonts w:hint="eastAsia" w:ascii="宋体" w:hAnsi="宋体" w:eastAsia="宋体" w:cs="宋体"/>
          <w:color w:val="auto"/>
          <w:sz w:val="21"/>
          <w:szCs w:val="21"/>
        </w:rPr>
        <w:t>运营支持服务</w:t>
      </w:r>
    </w:p>
    <w:p w14:paraId="3460619D">
      <w:pPr>
        <w:keepNext w:val="0"/>
        <w:keepLines w:val="0"/>
        <w:pageBreakBefore w:val="0"/>
        <w:widowControl/>
        <w:numPr>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textAlignment w:val="auto"/>
        <w:rPr>
          <w:rStyle w:val="9"/>
          <w:rFonts w:hint="eastAsia" w:ascii="宋体" w:hAnsi="宋体" w:eastAsia="宋体" w:cs="宋体"/>
          <w:b w:val="0"/>
          <w:bCs/>
          <w:color w:val="auto"/>
          <w:sz w:val="21"/>
          <w:szCs w:val="21"/>
        </w:rPr>
      </w:pPr>
      <w:r>
        <w:rPr>
          <w:rStyle w:val="9"/>
          <w:rFonts w:hint="eastAsia" w:ascii="宋体" w:hAnsi="宋体" w:eastAsia="宋体" w:cs="宋体"/>
          <w:b w:val="0"/>
          <w:bCs/>
          <w:color w:val="auto"/>
          <w:sz w:val="21"/>
          <w:szCs w:val="21"/>
        </w:rPr>
        <w:t>聚焦于</w:t>
      </w:r>
      <w:r>
        <w:rPr>
          <w:rStyle w:val="9"/>
          <w:rFonts w:hint="eastAsia" w:ascii="宋体" w:hAnsi="宋体" w:eastAsia="宋体" w:cs="宋体"/>
          <w:b w:val="0"/>
          <w:bCs/>
          <w:color w:val="auto"/>
          <w:sz w:val="21"/>
          <w:szCs w:val="21"/>
          <w:lang w:val="en-US" w:eastAsia="zh-CN"/>
        </w:rPr>
        <w:t>每年2</w:t>
      </w:r>
      <w:r>
        <w:rPr>
          <w:rStyle w:val="9"/>
          <w:rFonts w:hint="eastAsia" w:ascii="宋体" w:hAnsi="宋体" w:eastAsia="宋体" w:cs="宋体"/>
          <w:b w:val="0"/>
          <w:bCs/>
          <w:color w:val="auto"/>
          <w:sz w:val="21"/>
          <w:szCs w:val="21"/>
        </w:rPr>
        <w:t>个业务场景，包含</w:t>
      </w:r>
      <w:r>
        <w:rPr>
          <w:rFonts w:hint="eastAsia" w:ascii="宋体" w:hAnsi="宋体" w:eastAsia="宋体" w:cs="宋体"/>
          <w:color w:val="auto"/>
          <w:sz w:val="21"/>
          <w:szCs w:val="21"/>
          <w:lang w:val="en-US" w:eastAsia="zh-CN"/>
        </w:rPr>
        <w:t>应用搭建服务、</w:t>
      </w:r>
      <w:r>
        <w:rPr>
          <w:rStyle w:val="9"/>
          <w:rFonts w:hint="eastAsia" w:ascii="宋体" w:hAnsi="宋体" w:eastAsia="宋体" w:cs="宋体"/>
          <w:b w:val="0"/>
          <w:bCs/>
          <w:color w:val="auto"/>
          <w:sz w:val="21"/>
          <w:szCs w:val="21"/>
        </w:rPr>
        <w:t>需求调研与设计、开发指导与技术答疑、需求转化服务，以及每学期两次的</w:t>
      </w:r>
      <w:r>
        <w:rPr>
          <w:rStyle w:val="9"/>
          <w:rFonts w:hint="eastAsia" w:ascii="宋体" w:hAnsi="宋体" w:eastAsia="宋体" w:cs="宋体"/>
          <w:b w:val="0"/>
          <w:bCs/>
          <w:color w:val="auto"/>
          <w:sz w:val="21"/>
          <w:szCs w:val="21"/>
          <w:lang w:eastAsia="zh-CN"/>
        </w:rPr>
        <w:t>低代码一体化开发基座</w:t>
      </w:r>
      <w:r>
        <w:rPr>
          <w:rStyle w:val="9"/>
          <w:rFonts w:hint="eastAsia" w:ascii="宋体" w:hAnsi="宋体" w:eastAsia="宋体" w:cs="宋体"/>
          <w:b w:val="0"/>
          <w:bCs/>
          <w:color w:val="auto"/>
          <w:sz w:val="21"/>
          <w:szCs w:val="21"/>
        </w:rPr>
        <w:t>培训服务，确保校内团队能独立进行需求分析与开发。</w:t>
      </w:r>
    </w:p>
    <w:p w14:paraId="673F2442">
      <w:pPr>
        <w:pStyle w:val="6"/>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Autospacing="0" w:afterAutospacing="0" w:line="360" w:lineRule="auto"/>
        <w:ind w:left="845" w:leftChars="0" w:hanging="425"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Style w:val="9"/>
          <w:rFonts w:hint="eastAsia" w:ascii="宋体" w:hAnsi="宋体" w:eastAsia="宋体" w:cs="宋体"/>
          <w:color w:val="auto"/>
          <w:sz w:val="21"/>
          <w:szCs w:val="21"/>
        </w:rPr>
        <w:t>运营支持与运维服务</w:t>
      </w:r>
    </w:p>
    <w:p w14:paraId="20F2DD04">
      <w:pPr>
        <w:keepNext w:val="0"/>
        <w:keepLines w:val="0"/>
        <w:pageBreakBefore w:val="0"/>
        <w:widowControl/>
        <w:numPr>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textAlignment w:val="auto"/>
        <w:rPr>
          <w:rFonts w:hint="eastAsia" w:ascii="宋体" w:hAnsi="宋体" w:eastAsia="宋体" w:cs="宋体"/>
          <w:b w:val="0"/>
          <w:bCs/>
          <w:color w:val="auto"/>
          <w:sz w:val="21"/>
          <w:szCs w:val="21"/>
        </w:rPr>
      </w:pPr>
      <w:r>
        <w:rPr>
          <w:rStyle w:val="9"/>
          <w:rFonts w:hint="eastAsia" w:ascii="宋体" w:hAnsi="宋体" w:eastAsia="宋体" w:cs="宋体"/>
          <w:b w:val="0"/>
          <w:bCs/>
          <w:color w:val="auto"/>
          <w:sz w:val="21"/>
          <w:szCs w:val="21"/>
          <w:lang w:val="en-US" w:eastAsia="zh-CN"/>
        </w:rPr>
        <w:t>提供</w:t>
      </w:r>
      <w:r>
        <w:rPr>
          <w:rStyle w:val="9"/>
          <w:rFonts w:hint="eastAsia" w:ascii="宋体" w:hAnsi="宋体" w:eastAsia="宋体" w:cs="宋体"/>
          <w:b w:val="0"/>
          <w:bCs/>
          <w:color w:val="auto"/>
          <w:sz w:val="21"/>
          <w:szCs w:val="21"/>
        </w:rPr>
        <w:t>合</w:t>
      </w:r>
      <w:r>
        <w:rPr>
          <w:rStyle w:val="9"/>
          <w:rFonts w:hint="eastAsia" w:ascii="宋体" w:hAnsi="宋体" w:eastAsia="宋体" w:cs="宋体"/>
          <w:b w:val="0"/>
          <w:bCs/>
          <w:color w:val="auto"/>
          <w:sz w:val="21"/>
          <w:szCs w:val="21"/>
          <w:lang w:val="en-US" w:eastAsia="zh-CN"/>
        </w:rPr>
        <w:t>三</w:t>
      </w:r>
      <w:r>
        <w:rPr>
          <w:rStyle w:val="9"/>
          <w:rFonts w:hint="eastAsia" w:ascii="宋体" w:hAnsi="宋体" w:eastAsia="宋体" w:cs="宋体"/>
          <w:b w:val="0"/>
          <w:bCs/>
          <w:color w:val="auto"/>
          <w:sz w:val="21"/>
          <w:szCs w:val="21"/>
          <w:lang w:eastAsia="zh-CN"/>
        </w:rPr>
        <w:t>年</w:t>
      </w:r>
      <w:r>
        <w:rPr>
          <w:rStyle w:val="9"/>
          <w:rFonts w:hint="eastAsia" w:ascii="宋体" w:hAnsi="宋体" w:eastAsia="宋体" w:cs="宋体"/>
          <w:b w:val="0"/>
          <w:bCs/>
          <w:color w:val="auto"/>
          <w:sz w:val="21"/>
          <w:szCs w:val="21"/>
        </w:rPr>
        <w:t>质保与运维服务，涵盖平台培训与开发指导、故障排除、定期更新与版本升级，确保系统长期稳定、高效运行，同时保障项目的顺利推进和持续支持。</w:t>
      </w:r>
    </w:p>
    <w:p w14:paraId="4E8B8DE9">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服务内容</w:t>
      </w:r>
    </w:p>
    <w:p w14:paraId="2B9EA409">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color w:val="auto"/>
          <w:sz w:val="21"/>
          <w:szCs w:val="21"/>
        </w:rPr>
      </w:pPr>
      <w:r>
        <w:rPr>
          <w:color w:val="auto"/>
          <w:sz w:val="21"/>
          <w:szCs w:val="21"/>
        </w:rPr>
        <w:t>本项目通过提供</w:t>
      </w:r>
      <w:r>
        <w:rPr>
          <w:rFonts w:hint="eastAsia"/>
          <w:color w:val="auto"/>
          <w:sz w:val="21"/>
          <w:szCs w:val="21"/>
          <w:lang w:eastAsia="zh-CN"/>
        </w:rPr>
        <w:t>低代码一体化开发基座</w:t>
      </w:r>
      <w:r>
        <w:rPr>
          <w:color w:val="auto"/>
          <w:sz w:val="21"/>
          <w:szCs w:val="21"/>
        </w:rPr>
        <w:t>建设、</w:t>
      </w:r>
      <w:r>
        <w:rPr>
          <w:rFonts w:hint="eastAsia"/>
          <w:color w:val="auto"/>
          <w:sz w:val="21"/>
          <w:szCs w:val="21"/>
          <w:lang w:val="en-US" w:eastAsia="zh-CN"/>
        </w:rPr>
        <w:t>AI知识服务平台建设</w:t>
      </w:r>
      <w:r>
        <w:rPr>
          <w:color w:val="auto"/>
          <w:sz w:val="21"/>
          <w:szCs w:val="21"/>
        </w:rPr>
        <w:t>、零散需求</w:t>
      </w:r>
      <w:r>
        <w:rPr>
          <w:rFonts w:hint="eastAsia"/>
          <w:color w:val="auto"/>
          <w:sz w:val="21"/>
          <w:szCs w:val="21"/>
          <w:lang w:val="en-US" w:eastAsia="zh-CN"/>
        </w:rPr>
        <w:t>开发</w:t>
      </w:r>
      <w:r>
        <w:rPr>
          <w:color w:val="auto"/>
          <w:sz w:val="21"/>
          <w:szCs w:val="21"/>
        </w:rPr>
        <w:t>与</w:t>
      </w:r>
      <w:r>
        <w:rPr>
          <w:rFonts w:hint="eastAsia"/>
          <w:color w:val="auto"/>
          <w:sz w:val="21"/>
          <w:szCs w:val="21"/>
          <w:lang w:val="en-US" w:eastAsia="zh-CN"/>
        </w:rPr>
        <w:t>运营支持</w:t>
      </w:r>
      <w:r>
        <w:rPr>
          <w:color w:val="auto"/>
          <w:sz w:val="21"/>
          <w:szCs w:val="21"/>
        </w:rPr>
        <w:t>服务，确保学校能够实现数字化转型并建立高效、灵活、可扩展的系统架构。具体的服务内容如下：</w:t>
      </w:r>
    </w:p>
    <w:p w14:paraId="1E264356">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Style w:val="9"/>
          <w:rFonts w:hint="eastAsia" w:ascii="宋体" w:hAnsi="宋体" w:eastAsia="宋体" w:cs="宋体"/>
          <w:b/>
          <w:color w:val="auto"/>
          <w:sz w:val="21"/>
          <w:szCs w:val="21"/>
          <w:lang w:eastAsia="zh-CN"/>
        </w:rPr>
        <w:t>AI低代码一体化开发基座建设与实施</w:t>
      </w:r>
      <w:r>
        <w:rPr>
          <w:rStyle w:val="9"/>
          <w:rFonts w:hint="eastAsia" w:ascii="宋体" w:hAnsi="宋体" w:eastAsia="宋体" w:cs="宋体"/>
          <w:b/>
          <w:color w:val="auto"/>
          <w:sz w:val="21"/>
          <w:szCs w:val="21"/>
        </w:rPr>
        <w:t>服务</w:t>
      </w:r>
    </w:p>
    <w:p w14:paraId="1663F7DB">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构建高效的</w:t>
      </w:r>
      <w:r>
        <w:rPr>
          <w:rStyle w:val="9"/>
          <w:rFonts w:hint="eastAsia" w:ascii="宋体" w:hAnsi="宋体" w:eastAsia="宋体" w:cs="宋体"/>
          <w:b/>
          <w:color w:val="auto"/>
          <w:sz w:val="21"/>
          <w:szCs w:val="21"/>
          <w:lang w:eastAsia="zh-CN"/>
        </w:rPr>
        <w:t>AI</w:t>
      </w:r>
      <w:r>
        <w:rPr>
          <w:rFonts w:hint="eastAsia" w:ascii="宋体" w:hAnsi="宋体" w:eastAsia="宋体" w:cs="宋体"/>
          <w:color w:val="auto"/>
          <w:sz w:val="21"/>
          <w:szCs w:val="21"/>
          <w:lang w:eastAsia="zh-CN"/>
        </w:rPr>
        <w:t>低代码一体化开发基座</w:t>
      </w:r>
      <w:r>
        <w:rPr>
          <w:rFonts w:hint="eastAsia" w:ascii="宋体" w:hAnsi="宋体" w:eastAsia="宋体" w:cs="宋体"/>
          <w:color w:val="auto"/>
          <w:sz w:val="21"/>
          <w:szCs w:val="21"/>
        </w:rPr>
        <w:t>，完成部署与功能配置，满足多场景需求，并提供培训与技术答疑服务，助力校内团队自主开发与高效管理。</w:t>
      </w:r>
      <w:r>
        <w:rPr>
          <w:rFonts w:hint="eastAsia" w:ascii="宋体" w:hAnsi="宋体" w:eastAsia="宋体" w:cs="宋体"/>
          <w:color w:val="auto"/>
          <w:sz w:val="21"/>
          <w:szCs w:val="21"/>
          <w:lang w:val="en-US" w:eastAsia="zh-CN"/>
        </w:rPr>
        <w:t>具体包括：</w:t>
      </w:r>
    </w:p>
    <w:p w14:paraId="6532DA3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hanging="420"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rPr>
        <w:t>环境准备及平台部署</w:t>
      </w:r>
      <w:r>
        <w:rPr>
          <w:rFonts w:hint="eastAsia" w:ascii="宋体" w:hAnsi="宋体" w:eastAsia="宋体" w:cs="宋体"/>
          <w:color w:val="auto"/>
          <w:sz w:val="21"/>
          <w:szCs w:val="21"/>
        </w:rPr>
        <w:t>：学校提供部署资源，部署</w:t>
      </w:r>
      <w:r>
        <w:rPr>
          <w:rStyle w:val="9"/>
          <w:rFonts w:hint="eastAsia" w:ascii="宋体" w:hAnsi="宋体" w:eastAsia="宋体" w:cs="宋体"/>
          <w:b/>
          <w:color w:val="auto"/>
          <w:sz w:val="21"/>
          <w:szCs w:val="21"/>
          <w:lang w:eastAsia="zh-CN"/>
        </w:rPr>
        <w:t>AI</w:t>
      </w:r>
      <w:r>
        <w:rPr>
          <w:rFonts w:hint="eastAsia" w:ascii="宋体" w:hAnsi="宋体" w:eastAsia="宋体" w:cs="宋体"/>
          <w:color w:val="auto"/>
          <w:sz w:val="21"/>
          <w:szCs w:val="21"/>
          <w:lang w:eastAsia="zh-CN"/>
        </w:rPr>
        <w:t>低代码一体化开发基座</w:t>
      </w:r>
      <w:r>
        <w:rPr>
          <w:rFonts w:hint="eastAsia" w:ascii="宋体" w:hAnsi="宋体" w:eastAsia="宋体" w:cs="宋体"/>
          <w:color w:val="auto"/>
          <w:sz w:val="21"/>
          <w:szCs w:val="21"/>
        </w:rPr>
        <w:t>，涵盖多类型开发平台与实用模块。开发方面，无代码配置平台凭借表单、流程等五大引擎，支持用户无需掌握技术细节即可快速构建应用；低代码构建平台通过可视化配置实现异构系统对接和数据采集，以拖拽式服务编排打通多系统业务与数据；全代码开发平台提供基于浏览器的在线开发工具、API、组件、SDK 等，辅助用户进行扩展开发。资源复用层面，提供成熟应用与组件，便于组织数字化成果复用；组件中心</w:t>
      </w:r>
      <w:r>
        <w:rPr>
          <w:rFonts w:hint="eastAsia" w:ascii="宋体" w:hAnsi="宋体" w:eastAsia="宋体" w:cs="宋体"/>
          <w:color w:val="auto"/>
          <w:sz w:val="21"/>
          <w:szCs w:val="21"/>
          <w:lang w:val="en-US" w:eastAsia="zh-CN"/>
        </w:rPr>
        <w:t>应包括</w:t>
      </w:r>
      <w:r>
        <w:rPr>
          <w:rFonts w:hint="eastAsia" w:ascii="宋体" w:hAnsi="宋体" w:eastAsia="宋体" w:cs="宋体"/>
          <w:color w:val="auto"/>
          <w:sz w:val="21"/>
          <w:szCs w:val="21"/>
        </w:rPr>
        <w:t>支撑组件、智能组件、数字化组件、内外协同组件、业务组件等多类型组件，可灵活应用于各类场景。运维管理上，运维平台全面监控基础设施、应用、数据等，支持私有云部署运维，通过可视化、智能化操作，保障各应用交付与稳定运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确保平台能够灵活满足学校日常管理与创新业务需求。</w:t>
      </w:r>
    </w:p>
    <w:p w14:paraId="390E70E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hanging="420"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rPr>
        <w:t>系统集成与部署</w:t>
      </w:r>
      <w:r>
        <w:rPr>
          <w:rFonts w:hint="eastAsia" w:ascii="宋体" w:hAnsi="宋体" w:eastAsia="宋体" w:cs="宋体"/>
          <w:color w:val="auto"/>
          <w:sz w:val="21"/>
          <w:szCs w:val="21"/>
        </w:rPr>
        <w:t>：平台将与学校的统一身份认证平台进行对接，确保用户认证的一致性和安全性；与一网通办系统融合，优化流程管理；支持与学校消息/待办系统对接，提供任务提醒与信息传递功能。所有技术集成将确保平台具备高效灵活的功能配置，满足学校日常管理及创新业务需求。</w:t>
      </w:r>
    </w:p>
    <w:p w14:paraId="50FC3D16">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hanging="420"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rPr>
        <w:t>平台培训及技术答疑</w:t>
      </w:r>
      <w:r>
        <w:rPr>
          <w:rFonts w:hint="eastAsia" w:ascii="宋体" w:hAnsi="宋体" w:eastAsia="宋体" w:cs="宋体"/>
          <w:color w:val="auto"/>
          <w:sz w:val="21"/>
          <w:szCs w:val="21"/>
        </w:rPr>
        <w:t>：为校内团队提供</w:t>
      </w:r>
      <w:r>
        <w:rPr>
          <w:rFonts w:hint="eastAsia" w:ascii="宋体" w:hAnsi="宋体" w:eastAsia="宋体" w:cs="宋体"/>
          <w:color w:val="auto"/>
          <w:sz w:val="21"/>
          <w:szCs w:val="21"/>
          <w:lang w:val="en-US" w:eastAsia="zh-CN"/>
        </w:rPr>
        <w:t>每学期2次的</w:t>
      </w:r>
      <w:r>
        <w:rPr>
          <w:rFonts w:hint="eastAsia" w:ascii="宋体" w:hAnsi="宋体" w:eastAsia="宋体" w:cs="宋体"/>
          <w:color w:val="auto"/>
          <w:sz w:val="21"/>
          <w:szCs w:val="21"/>
          <w:lang w:eastAsia="zh-CN"/>
        </w:rPr>
        <w:t>低代码一体化开发基座</w:t>
      </w:r>
      <w:r>
        <w:rPr>
          <w:rFonts w:hint="eastAsia" w:ascii="宋体" w:hAnsi="宋体" w:eastAsia="宋体" w:cs="宋体"/>
          <w:color w:val="auto"/>
          <w:sz w:val="21"/>
          <w:szCs w:val="21"/>
        </w:rPr>
        <w:t>的基础操作与定制开发培训，帮助团队掌握平台使用技巧，并提供平台技术答疑服务，确保团队能够在项目实施过程中顺利使用平台。</w:t>
      </w:r>
    </w:p>
    <w:p w14:paraId="5862BA05">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1"/>
          <w:szCs w:val="21"/>
        </w:rPr>
      </w:pPr>
      <w:r>
        <w:rPr>
          <w:rStyle w:val="9"/>
          <w:rFonts w:hint="eastAsia" w:ascii="宋体" w:hAnsi="宋体" w:eastAsia="宋体" w:cs="宋体"/>
          <w:b/>
          <w:color w:val="auto"/>
          <w:sz w:val="21"/>
          <w:szCs w:val="21"/>
          <w:lang w:val="en-US" w:eastAsia="zh-CN"/>
        </w:rPr>
        <w:t xml:space="preserve"> AI知识服务平台建设与实施</w:t>
      </w:r>
    </w:p>
    <w:p w14:paraId="756E7F53">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该部分服务将</w:t>
      </w:r>
      <w:r>
        <w:rPr>
          <w:rFonts w:hint="eastAsia" w:ascii="宋体" w:hAnsi="宋体" w:eastAsia="宋体" w:cs="宋体"/>
          <w:color w:val="auto"/>
          <w:sz w:val="21"/>
          <w:szCs w:val="21"/>
          <w:lang w:val="en-US" w:eastAsia="zh-CN"/>
        </w:rPr>
        <w:t>部署</w:t>
      </w:r>
      <w:r>
        <w:rPr>
          <w:rFonts w:hint="eastAsia" w:ascii="宋体" w:hAnsi="宋体" w:eastAsia="宋体" w:cs="宋体"/>
          <w:color w:val="auto"/>
          <w:sz w:val="21"/>
          <w:szCs w:val="21"/>
        </w:rPr>
        <w:t>AI知识服务平台，为学校配置部署核心功能模块，构建统一、智能的知识服务体系，主要包括以下内容：</w:t>
      </w:r>
    </w:p>
    <w:p w14:paraId="45C574C0">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eastAsia" w:ascii="宋体" w:hAnsi="宋体" w:eastAsia="宋体" w:cs="宋体"/>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平台部署与模块配置：</w:t>
      </w:r>
      <w:r>
        <w:rPr>
          <w:rStyle w:val="9"/>
          <w:rFonts w:hint="eastAsia" w:ascii="宋体" w:hAnsi="宋体" w:eastAsia="宋体" w:cs="宋体"/>
          <w:b w:val="0"/>
          <w:bCs/>
          <w:color w:val="auto"/>
          <w:kern w:val="2"/>
          <w:sz w:val="21"/>
          <w:szCs w:val="21"/>
          <w:lang w:val="en-US" w:eastAsia="zh-CN" w:bidi="ar-SA"/>
        </w:rPr>
        <w:t>完成知识服务平台的安装部署与初始化配置，开通</w:t>
      </w:r>
      <w:r>
        <w:rPr>
          <w:rStyle w:val="9"/>
          <w:rFonts w:hint="eastAsia" w:ascii="宋体" w:hAnsi="宋体" w:eastAsia="宋体" w:cs="宋体"/>
          <w:b w:val="0"/>
          <w:bCs/>
          <w:color w:val="auto"/>
          <w:sz w:val="21"/>
          <w:szCs w:val="21"/>
          <w:lang w:val="en-US" w:eastAsia="zh-CN"/>
        </w:rPr>
        <w:t>校园百事通、文档解读、知识员工、知识查阅、数据管理、知识管理</w:t>
      </w:r>
      <w:r>
        <w:rPr>
          <w:rStyle w:val="9"/>
          <w:rFonts w:hint="eastAsia" w:ascii="宋体" w:hAnsi="宋体" w:eastAsia="宋体" w:cs="宋体"/>
          <w:b w:val="0"/>
          <w:bCs/>
          <w:color w:val="auto"/>
          <w:kern w:val="2"/>
          <w:sz w:val="21"/>
          <w:szCs w:val="21"/>
          <w:lang w:val="en-US" w:eastAsia="zh-CN" w:bidi="ar-SA"/>
        </w:rPr>
        <w:t>等核心模块，满足教学、科研与管理等多场景知识服务需求。</w:t>
      </w:r>
    </w:p>
    <w:p w14:paraId="4A25A0F8">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eastAsia" w:ascii="宋体" w:hAnsi="宋体" w:eastAsia="宋体" w:cs="宋体"/>
          <w:b w:val="0"/>
          <w:bCs/>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资源导入与知识配置：</w:t>
      </w:r>
      <w:r>
        <w:rPr>
          <w:rStyle w:val="9"/>
          <w:rFonts w:hint="eastAsia" w:ascii="宋体" w:hAnsi="宋体" w:eastAsia="宋体" w:cs="宋体"/>
          <w:b w:val="0"/>
          <w:bCs/>
          <w:color w:val="auto"/>
          <w:kern w:val="2"/>
          <w:sz w:val="21"/>
          <w:szCs w:val="21"/>
          <w:lang w:val="en-US" w:eastAsia="zh-CN" w:bidi="ar-SA"/>
        </w:rPr>
        <w:t>支持与校本数据中心对接，完成结构化与非结构化知识资源的接入与导入，包括文档上传、分类整理与知识标签配置，构建多源融合的知识内容体系。</w:t>
      </w:r>
    </w:p>
    <w:p w14:paraId="4FECF722">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eastAsia" w:ascii="宋体" w:hAnsi="宋体" w:eastAsia="宋体" w:cs="宋体"/>
          <w:b w:val="0"/>
          <w:bCs/>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系统集成与权限配置：</w:t>
      </w:r>
      <w:r>
        <w:rPr>
          <w:rStyle w:val="9"/>
          <w:rFonts w:hint="eastAsia" w:ascii="宋体" w:hAnsi="宋体" w:eastAsia="宋体" w:cs="宋体"/>
          <w:b w:val="0"/>
          <w:bCs/>
          <w:color w:val="auto"/>
          <w:kern w:val="2"/>
          <w:sz w:val="21"/>
          <w:szCs w:val="21"/>
          <w:lang w:val="en-US" w:eastAsia="zh-CN" w:bidi="ar-SA"/>
        </w:rPr>
        <w:t>与学校统一身份认证系统对接，配置用户权限管理机制，实现不同角色对知识资源的分级访问与操作权限控制。</w:t>
      </w:r>
    </w:p>
    <w:p w14:paraId="5129C776">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eastAsia" w:ascii="宋体" w:hAnsi="宋体" w:eastAsia="宋体" w:cs="宋体"/>
          <w:b w:val="0"/>
          <w:bCs/>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系统交付与上线：</w:t>
      </w:r>
      <w:r>
        <w:rPr>
          <w:rStyle w:val="9"/>
          <w:rFonts w:hint="eastAsia" w:ascii="宋体" w:hAnsi="宋体" w:eastAsia="宋体" w:cs="宋体"/>
          <w:b w:val="0"/>
          <w:bCs/>
          <w:color w:val="auto"/>
          <w:kern w:val="2"/>
          <w:sz w:val="21"/>
          <w:szCs w:val="21"/>
          <w:lang w:val="en-US" w:eastAsia="zh-CN" w:bidi="ar-SA"/>
        </w:rPr>
        <w:t>完成平台测试、优化与上线部署，确保系统稳定运行，并为校内用户提供便捷、高效的知识服务支持。</w:t>
      </w:r>
    </w:p>
    <w:p w14:paraId="64C9EE78">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1"/>
          <w:szCs w:val="21"/>
        </w:rPr>
      </w:pPr>
      <w:r>
        <w:rPr>
          <w:rStyle w:val="9"/>
          <w:rFonts w:hint="eastAsia" w:ascii="宋体" w:hAnsi="宋体" w:eastAsia="宋体" w:cs="宋体"/>
          <w:b/>
          <w:color w:val="auto"/>
          <w:sz w:val="21"/>
          <w:szCs w:val="21"/>
          <w:lang w:val="en-US" w:eastAsia="zh-CN"/>
        </w:rPr>
        <w:t xml:space="preserve"> </w:t>
      </w:r>
      <w:r>
        <w:rPr>
          <w:rStyle w:val="9"/>
          <w:rFonts w:hint="eastAsia" w:ascii="宋体" w:hAnsi="宋体" w:eastAsia="宋体" w:cs="宋体"/>
          <w:b/>
          <w:color w:val="auto"/>
          <w:sz w:val="21"/>
          <w:szCs w:val="21"/>
        </w:rPr>
        <w:t>零散需求开发与运营支持服务</w:t>
      </w:r>
    </w:p>
    <w:p w14:paraId="2F41EC7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0"/>
        <w:jc w:val="left"/>
        <w:textAlignment w:val="auto"/>
        <w:rPr>
          <w:color w:val="auto"/>
          <w:sz w:val="21"/>
          <w:szCs w:val="21"/>
        </w:rPr>
      </w:pPr>
      <w:r>
        <w:rPr>
          <w:rFonts w:asciiTheme="minorHAnsi" w:hAnsiTheme="minorHAnsi" w:eastAsiaTheme="minorEastAsia" w:cstheme="minorBidi"/>
          <w:color w:val="auto"/>
          <w:kern w:val="0"/>
          <w:sz w:val="21"/>
          <w:szCs w:val="21"/>
          <w:lang w:val="en-US" w:eastAsia="zh-CN" w:bidi="ar"/>
        </w:rPr>
        <w:t>此类服务通过现场勘察与调研，针对学校的个性化需求，提供专属运营支持，</w:t>
      </w:r>
      <w:r>
        <w:rPr>
          <w:rFonts w:hint="eastAsia" w:cstheme="minorBidi"/>
          <w:color w:val="auto"/>
          <w:kern w:val="0"/>
          <w:sz w:val="21"/>
          <w:szCs w:val="21"/>
          <w:lang w:val="en-US" w:eastAsia="zh-CN" w:bidi="ar"/>
        </w:rPr>
        <w:t>每年</w:t>
      </w:r>
      <w:r>
        <w:rPr>
          <w:rFonts w:asciiTheme="minorHAnsi" w:hAnsiTheme="minorHAnsi" w:eastAsiaTheme="minorEastAsia" w:cstheme="minorBidi"/>
          <w:color w:val="auto"/>
          <w:kern w:val="0"/>
          <w:sz w:val="21"/>
          <w:szCs w:val="21"/>
          <w:lang w:val="en-US" w:eastAsia="zh-CN" w:bidi="ar"/>
        </w:rPr>
        <w:t>聚焦于</w:t>
      </w:r>
      <w:r>
        <w:rPr>
          <w:rFonts w:hint="eastAsia" w:cstheme="minorBidi"/>
          <w:color w:val="auto"/>
          <w:kern w:val="0"/>
          <w:sz w:val="21"/>
          <w:szCs w:val="21"/>
          <w:lang w:val="en-US" w:eastAsia="zh-CN" w:bidi="ar"/>
        </w:rPr>
        <w:t>2</w:t>
      </w:r>
      <w:r>
        <w:rPr>
          <w:rFonts w:asciiTheme="minorHAnsi" w:hAnsiTheme="minorHAnsi" w:eastAsiaTheme="minorEastAsia" w:cstheme="minorBidi"/>
          <w:color w:val="auto"/>
          <w:kern w:val="0"/>
          <w:sz w:val="21"/>
          <w:szCs w:val="21"/>
          <w:lang w:val="en-US" w:eastAsia="zh-CN" w:bidi="ar"/>
        </w:rPr>
        <w:t>个业务场景的定制开发与实施，确保快速响应需求并高效交付。</w:t>
      </w:r>
    </w:p>
    <w:p w14:paraId="2870D89A">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eastAsia" w:ascii="宋体" w:hAnsi="宋体" w:eastAsia="宋体" w:cs="宋体"/>
          <w:b w:val="0"/>
          <w:bCs/>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需求调研及设计：</w:t>
      </w:r>
      <w:r>
        <w:rPr>
          <w:rStyle w:val="9"/>
          <w:rFonts w:hint="eastAsia" w:ascii="宋体" w:hAnsi="宋体" w:eastAsia="宋体" w:cs="宋体"/>
          <w:b w:val="0"/>
          <w:bCs/>
          <w:color w:val="auto"/>
          <w:kern w:val="2"/>
          <w:sz w:val="21"/>
          <w:szCs w:val="21"/>
          <w:lang w:val="en-US" w:eastAsia="zh-CN" w:bidi="ar-SA"/>
        </w:rPr>
        <w:t>通过对校内各部门的需求调研，将零散的业务需求转化为AI低代码一体化开发基座可执行的设计方案，为后续开发提供明确的方向和指导。</w:t>
      </w:r>
    </w:p>
    <w:p w14:paraId="506F4638">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eastAsia" w:ascii="宋体" w:hAnsi="宋体" w:eastAsia="宋体" w:cs="宋体"/>
          <w:b w:val="0"/>
          <w:bCs/>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开发指导及答疑：</w:t>
      </w:r>
      <w:r>
        <w:rPr>
          <w:rStyle w:val="9"/>
          <w:rFonts w:hint="eastAsia" w:ascii="宋体" w:hAnsi="宋体" w:eastAsia="宋体" w:cs="宋体"/>
          <w:b w:val="0"/>
          <w:bCs/>
          <w:color w:val="auto"/>
          <w:kern w:val="2"/>
          <w:sz w:val="21"/>
          <w:szCs w:val="21"/>
          <w:lang w:val="en-US" w:eastAsia="zh-CN" w:bidi="ar-SA"/>
        </w:rPr>
        <w:t>为校内团队提供一对一的技术支持与开发指导，确保需求能够顺利实现。同时为团队提供低代码一体化开发基座操作与开发过程中的技术答疑服务，帮助团队克服实际开发中的难题。</w:t>
      </w:r>
    </w:p>
    <w:p w14:paraId="79F5D267">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default" w:ascii="宋体" w:hAnsi="宋体" w:eastAsia="宋体" w:cs="宋体"/>
          <w:b w:val="0"/>
          <w:bCs/>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系统交付与上线支持：</w:t>
      </w:r>
      <w:r>
        <w:rPr>
          <w:rStyle w:val="9"/>
          <w:rFonts w:hint="eastAsia" w:ascii="宋体" w:hAnsi="宋体" w:eastAsia="宋体" w:cs="宋体"/>
          <w:b w:val="0"/>
          <w:bCs/>
          <w:color w:val="auto"/>
          <w:kern w:val="2"/>
          <w:sz w:val="21"/>
          <w:szCs w:val="21"/>
          <w:lang w:val="en-US" w:eastAsia="zh-CN" w:bidi="ar-SA"/>
        </w:rPr>
        <w:t>在开发与答疑完成后，提供系统交付支持，确保功能顺利上线并投入使用。同时，根据使用反馈提供优化建议，确保系统稳定运行并满足学校的实际需求。</w:t>
      </w:r>
    </w:p>
    <w:p w14:paraId="6A10100C">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1"/>
          <w:szCs w:val="21"/>
        </w:rPr>
      </w:pPr>
      <w:r>
        <w:rPr>
          <w:rStyle w:val="9"/>
          <w:rFonts w:hint="eastAsia" w:ascii="宋体" w:hAnsi="宋体" w:eastAsia="宋体" w:cs="宋体"/>
          <w:b/>
          <w:color w:val="auto"/>
          <w:sz w:val="21"/>
          <w:szCs w:val="21"/>
          <w:lang w:val="en-US" w:eastAsia="zh-CN"/>
        </w:rPr>
        <w:t xml:space="preserve"> 整体平台</w:t>
      </w:r>
      <w:r>
        <w:rPr>
          <w:rStyle w:val="9"/>
          <w:rFonts w:hint="eastAsia" w:ascii="宋体" w:hAnsi="宋体" w:eastAsia="宋体" w:cs="宋体"/>
          <w:b/>
          <w:color w:val="auto"/>
          <w:sz w:val="21"/>
          <w:szCs w:val="21"/>
        </w:rPr>
        <w:t>运营</w:t>
      </w:r>
      <w:r>
        <w:rPr>
          <w:rStyle w:val="9"/>
          <w:rFonts w:hint="eastAsia" w:ascii="宋体" w:hAnsi="宋体" w:eastAsia="宋体" w:cs="宋体"/>
          <w:b/>
          <w:color w:val="auto"/>
          <w:sz w:val="21"/>
          <w:szCs w:val="21"/>
          <w:lang w:val="en-US"/>
        </w:rPr>
        <w:t>支持</w:t>
      </w:r>
      <w:r>
        <w:rPr>
          <w:rStyle w:val="9"/>
          <w:rFonts w:hint="eastAsia" w:ascii="宋体" w:hAnsi="宋体" w:eastAsia="宋体" w:cs="宋体"/>
          <w:b/>
          <w:color w:val="auto"/>
          <w:sz w:val="21"/>
          <w:szCs w:val="21"/>
        </w:rPr>
        <w:t>与驻场服务</w:t>
      </w:r>
    </w:p>
    <w:p w14:paraId="72AA9BAA">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此类服务旨在保障平台与系统的长期稳定运行，并通过驻场与远程支持结合的方式，为校内团队提供全面的技术支持和能力提升。</w:t>
      </w:r>
    </w:p>
    <w:p w14:paraId="57863464">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eastAsia" w:ascii="宋体" w:hAnsi="宋体" w:eastAsia="宋体" w:cs="宋体"/>
          <w:b w:val="0"/>
          <w:bCs/>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按需驻场支持与远程服务支持：</w:t>
      </w:r>
      <w:r>
        <w:rPr>
          <w:rStyle w:val="9"/>
          <w:rFonts w:hint="eastAsia" w:ascii="宋体" w:hAnsi="宋体" w:eastAsia="宋体" w:cs="宋体"/>
          <w:b w:val="0"/>
          <w:bCs/>
          <w:color w:val="auto"/>
          <w:kern w:val="2"/>
          <w:sz w:val="21"/>
          <w:szCs w:val="21"/>
          <w:lang w:val="en-US" w:eastAsia="zh-CN" w:bidi="ar-SA"/>
        </w:rPr>
        <w:t>提供远程与按需驻场支持服务，与校内团队保持密切协作，负责知识服务平台的配置指导、问题答疑、系统优化及技术支持，确保项目顺利实施与持续运行。通过线上方式快速响应学校需求，保障平台稳定、高效、可持续运作。</w:t>
      </w:r>
    </w:p>
    <w:p w14:paraId="68516C57">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eastAsia" w:ascii="宋体" w:hAnsi="宋体" w:eastAsia="宋体" w:cs="宋体"/>
          <w:b w:val="0"/>
          <w:bCs/>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平台培训与开发指导：</w:t>
      </w:r>
      <w:r>
        <w:rPr>
          <w:rStyle w:val="9"/>
          <w:rFonts w:hint="eastAsia" w:ascii="宋体" w:hAnsi="宋体" w:eastAsia="宋体" w:cs="宋体"/>
          <w:b w:val="0"/>
          <w:bCs/>
          <w:color w:val="auto"/>
          <w:kern w:val="2"/>
          <w:sz w:val="21"/>
          <w:szCs w:val="21"/>
          <w:lang w:val="en-US" w:eastAsia="zh-CN" w:bidi="ar-SA"/>
        </w:rPr>
        <w:t>驻场人员定期为校内团队提供平台使用培训与开发指导，帮助团队掌握AI低代码一体化开发基座的使用与开发技能，逐步提升自主开发能力，确保团队能够独立完成系统的维护与扩展工作。</w:t>
      </w:r>
    </w:p>
    <w:p w14:paraId="65F7F06D">
      <w:pPr>
        <w:pStyle w:val="6"/>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Style w:val="9"/>
          <w:rFonts w:hint="eastAsia" w:ascii="宋体" w:hAnsi="宋体" w:eastAsia="宋体" w:cs="宋体"/>
          <w:b w:val="0"/>
          <w:bCs/>
          <w:color w:val="auto"/>
          <w:kern w:val="2"/>
          <w:sz w:val="21"/>
          <w:szCs w:val="21"/>
          <w:lang w:val="en-US" w:eastAsia="zh-CN" w:bidi="ar-SA"/>
        </w:rPr>
      </w:pPr>
      <w:r>
        <w:rPr>
          <w:rStyle w:val="9"/>
          <w:rFonts w:hint="eastAsia" w:ascii="宋体" w:hAnsi="宋体" w:eastAsia="宋体" w:cs="宋体"/>
          <w:color w:val="auto"/>
          <w:kern w:val="2"/>
          <w:sz w:val="21"/>
          <w:szCs w:val="21"/>
          <w:lang w:val="en-US" w:eastAsia="zh-CN" w:bidi="ar-SA"/>
        </w:rPr>
        <w:t>系统日常维护与运维支持：</w:t>
      </w:r>
      <w:r>
        <w:rPr>
          <w:rStyle w:val="9"/>
          <w:rFonts w:hint="eastAsia" w:ascii="宋体" w:hAnsi="宋体" w:eastAsia="宋体" w:cs="宋体"/>
          <w:b w:val="0"/>
          <w:bCs/>
          <w:color w:val="auto"/>
          <w:kern w:val="2"/>
          <w:sz w:val="21"/>
          <w:szCs w:val="21"/>
          <w:lang w:val="en-US" w:eastAsia="zh-CN" w:bidi="ar-SA"/>
        </w:rPr>
        <w:t>提供系统日常巡检、故障排除与优化服务，保障平台和系统的稳定性与高效性。结合三年运维支持计划，根据学校的业务需求调整系统功能，提供定期更新与优化。</w:t>
      </w:r>
    </w:p>
    <w:p w14:paraId="4A96D1CD">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实施计划</w:t>
      </w:r>
    </w:p>
    <w:p w14:paraId="63530E13">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本项目实施计划分为四个主要阶段，涵盖了平台搭建、AI知识服务平台交付、零散需求支持及</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rPr>
        <w:t>运维等内容。整体交付周期为</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个月，之后将进行为期</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rPr>
        <w:t>的运维保障。每个阶段的工作安排如下：</w:t>
      </w:r>
    </w:p>
    <w:p w14:paraId="4FA7DE78">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1"/>
          <w:szCs w:val="21"/>
        </w:rPr>
      </w:pPr>
      <w:r>
        <w:rPr>
          <w:rStyle w:val="9"/>
          <w:rFonts w:hint="default" w:ascii="宋体" w:hAnsi="宋体" w:eastAsia="宋体" w:cs="宋体"/>
          <w:b/>
          <w:color w:val="auto"/>
          <w:sz w:val="21"/>
          <w:szCs w:val="21"/>
          <w:lang w:val="en-US"/>
        </w:rPr>
        <w:t xml:space="preserve"> </w:t>
      </w:r>
      <w:r>
        <w:rPr>
          <w:rStyle w:val="9"/>
          <w:rFonts w:hint="eastAsia" w:ascii="宋体" w:hAnsi="宋体" w:eastAsia="宋体" w:cs="宋体"/>
          <w:b/>
          <w:color w:val="auto"/>
          <w:sz w:val="21"/>
          <w:szCs w:val="21"/>
          <w:lang w:val="en-US" w:eastAsia="zh-CN"/>
        </w:rPr>
        <w:t>AI低代码一体化开发基座</w:t>
      </w:r>
      <w:r>
        <w:rPr>
          <w:rStyle w:val="9"/>
          <w:rFonts w:hint="eastAsia" w:ascii="宋体" w:hAnsi="宋体" w:eastAsia="宋体" w:cs="宋体"/>
          <w:b/>
          <w:color w:val="auto"/>
          <w:sz w:val="21"/>
          <w:szCs w:val="21"/>
        </w:rPr>
        <w:t>搭建阶段</w:t>
      </w:r>
      <w:r>
        <w:rPr>
          <w:rFonts w:hint="eastAsia" w:ascii="宋体" w:hAnsi="宋体" w:eastAsia="宋体" w:cs="宋体"/>
          <w:color w:val="auto"/>
          <w:sz w:val="21"/>
          <w:szCs w:val="21"/>
        </w:rPr>
        <w:t>（1个月）</w:t>
      </w:r>
    </w:p>
    <w:p w14:paraId="550C1F86">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rPr>
        <w:t>目标</w:t>
      </w:r>
      <w:r>
        <w:rPr>
          <w:rFonts w:hint="eastAsia" w:ascii="宋体" w:hAnsi="宋体" w:eastAsia="宋体" w:cs="宋体"/>
          <w:color w:val="auto"/>
          <w:sz w:val="21"/>
          <w:szCs w:val="21"/>
        </w:rPr>
        <w:t>：搭建</w:t>
      </w:r>
      <w:r>
        <w:rPr>
          <w:rFonts w:hint="eastAsia" w:ascii="宋体" w:hAnsi="宋体" w:eastAsia="宋体" w:cs="宋体"/>
          <w:color w:val="auto"/>
          <w:sz w:val="21"/>
          <w:szCs w:val="21"/>
          <w:lang w:val="en-US" w:eastAsia="zh-CN"/>
        </w:rPr>
        <w:t>AI</w:t>
      </w:r>
      <w:r>
        <w:rPr>
          <w:rFonts w:hint="eastAsia" w:ascii="宋体" w:hAnsi="宋体" w:eastAsia="宋体" w:cs="宋体"/>
          <w:color w:val="auto"/>
          <w:sz w:val="21"/>
          <w:szCs w:val="21"/>
          <w:lang w:eastAsia="zh-CN"/>
        </w:rPr>
        <w:t>低代码一体化开发基座</w:t>
      </w:r>
      <w:r>
        <w:rPr>
          <w:rFonts w:hint="eastAsia" w:ascii="宋体" w:hAnsi="宋体" w:eastAsia="宋体" w:cs="宋体"/>
          <w:color w:val="auto"/>
          <w:sz w:val="21"/>
          <w:szCs w:val="21"/>
        </w:rPr>
        <w:t>并提供培训，使校内团队具备使用平台的能力。</w:t>
      </w:r>
    </w:p>
    <w:p w14:paraId="504B1A40">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rPr>
        <w:t>主要工作内容</w:t>
      </w:r>
      <w:r>
        <w:rPr>
          <w:rFonts w:hint="eastAsia" w:ascii="宋体" w:hAnsi="宋体" w:eastAsia="宋体" w:cs="宋体"/>
          <w:color w:val="auto"/>
          <w:sz w:val="21"/>
          <w:szCs w:val="21"/>
        </w:rPr>
        <w:t>：</w:t>
      </w:r>
    </w:p>
    <w:p w14:paraId="3DCF1847">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0" w:beforeAutospacing="0" w:after="0" w:afterAutospacing="0" w:line="360" w:lineRule="auto"/>
        <w:ind w:left="126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配置所需的机器资源并部署</w:t>
      </w:r>
      <w:r>
        <w:rPr>
          <w:rFonts w:hint="eastAsia" w:ascii="宋体" w:hAnsi="宋体" w:eastAsia="宋体" w:cs="宋体"/>
          <w:color w:val="auto"/>
          <w:sz w:val="21"/>
          <w:szCs w:val="21"/>
          <w:lang w:val="en-US" w:eastAsia="zh-CN"/>
        </w:rPr>
        <w:t>AI</w:t>
      </w:r>
      <w:r>
        <w:rPr>
          <w:rFonts w:hint="eastAsia" w:ascii="宋体" w:hAnsi="宋体" w:eastAsia="宋体" w:cs="宋体"/>
          <w:color w:val="auto"/>
          <w:sz w:val="21"/>
          <w:szCs w:val="21"/>
          <w:lang w:eastAsia="zh-CN"/>
        </w:rPr>
        <w:t>低代码一体化开发基座</w:t>
      </w:r>
      <w:r>
        <w:rPr>
          <w:rFonts w:hint="eastAsia" w:ascii="宋体" w:hAnsi="宋体" w:eastAsia="宋体" w:cs="宋体"/>
          <w:color w:val="auto"/>
          <w:sz w:val="21"/>
          <w:szCs w:val="21"/>
        </w:rPr>
        <w:t>。</w:t>
      </w:r>
    </w:p>
    <w:p w14:paraId="20A90CEC">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0" w:beforeAutospacing="0" w:after="0" w:afterAutospacing="0" w:line="360" w:lineRule="auto"/>
        <w:ind w:left="126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组织校内团队进行平台使用培训，确保他们能顺利上手平台的开发功能。</w:t>
      </w:r>
    </w:p>
    <w:p w14:paraId="260E82B6">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1"/>
          <w:szCs w:val="21"/>
        </w:rPr>
      </w:pPr>
      <w:r>
        <w:rPr>
          <w:rStyle w:val="9"/>
          <w:rFonts w:hint="default" w:ascii="宋体" w:hAnsi="宋体" w:eastAsia="宋体" w:cs="宋体"/>
          <w:b/>
          <w:color w:val="auto"/>
          <w:sz w:val="21"/>
          <w:szCs w:val="21"/>
          <w:lang w:val="en-US"/>
        </w:rPr>
        <w:t xml:space="preserve"> </w:t>
      </w:r>
      <w:r>
        <w:rPr>
          <w:rStyle w:val="9"/>
          <w:rFonts w:hint="default" w:ascii="宋体" w:hAnsi="宋体" w:eastAsia="宋体" w:cs="宋体"/>
          <w:b/>
          <w:color w:val="auto"/>
          <w:sz w:val="21"/>
          <w:szCs w:val="21"/>
          <w:lang w:val="en-US" w:eastAsia="zh-CN"/>
        </w:rPr>
        <w:t>AI知识服务平台交付阶段（</w:t>
      </w:r>
      <w:r>
        <w:rPr>
          <w:rStyle w:val="9"/>
          <w:rFonts w:hint="eastAsia" w:ascii="宋体" w:hAnsi="宋体" w:eastAsia="宋体" w:cs="宋体"/>
          <w:b/>
          <w:color w:val="auto"/>
          <w:sz w:val="21"/>
          <w:szCs w:val="21"/>
          <w:lang w:val="en-US" w:eastAsia="zh-CN"/>
        </w:rPr>
        <w:t>1</w:t>
      </w:r>
      <w:r>
        <w:rPr>
          <w:rStyle w:val="9"/>
          <w:rFonts w:hint="default" w:ascii="宋体" w:hAnsi="宋体" w:eastAsia="宋体" w:cs="宋体"/>
          <w:b/>
          <w:color w:val="auto"/>
          <w:sz w:val="21"/>
          <w:szCs w:val="21"/>
          <w:lang w:val="en-US" w:eastAsia="zh-CN"/>
        </w:rPr>
        <w:t>个月）</w:t>
      </w:r>
    </w:p>
    <w:p w14:paraId="3B187CEF">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目标：</w:t>
      </w:r>
      <w:r>
        <w:rPr>
          <w:rStyle w:val="9"/>
          <w:rFonts w:hint="eastAsia" w:ascii="宋体" w:hAnsi="宋体" w:eastAsia="宋体" w:cs="宋体"/>
          <w:b w:val="0"/>
          <w:bCs/>
          <w:color w:val="auto"/>
          <w:sz w:val="21"/>
          <w:szCs w:val="21"/>
        </w:rPr>
        <w:t>完成AI知识服务平台的部署、模块配置与上线交付，确保系统稳定运行并满足实际使用需求。</w:t>
      </w:r>
    </w:p>
    <w:p w14:paraId="2407FBDB">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rPr>
        <w:t>主要工作内容</w:t>
      </w:r>
      <w:r>
        <w:rPr>
          <w:rFonts w:hint="eastAsia" w:ascii="宋体" w:hAnsi="宋体" w:eastAsia="宋体" w:cs="宋体"/>
          <w:color w:val="auto"/>
          <w:sz w:val="21"/>
          <w:szCs w:val="21"/>
        </w:rPr>
        <w:t>：</w:t>
      </w:r>
    </w:p>
    <w:p w14:paraId="5A52C893">
      <w:pPr>
        <w:pStyle w:val="6"/>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部署AI知识服务平台，完成</w:t>
      </w:r>
      <w:r>
        <w:rPr>
          <w:rStyle w:val="9"/>
          <w:rFonts w:hint="eastAsia" w:ascii="宋体" w:hAnsi="宋体" w:eastAsia="宋体" w:cs="宋体"/>
          <w:b w:val="0"/>
          <w:bCs/>
          <w:color w:val="auto"/>
          <w:sz w:val="21"/>
          <w:szCs w:val="21"/>
          <w:lang w:val="en-US" w:eastAsia="zh-CN"/>
        </w:rPr>
        <w:t>校园百事通、文档解读、知识员工、知识查阅、数据管理、知识管理</w:t>
      </w:r>
      <w:r>
        <w:rPr>
          <w:rFonts w:hint="eastAsia" w:ascii="宋体" w:hAnsi="宋体" w:eastAsia="宋体" w:cs="宋体"/>
          <w:color w:val="auto"/>
          <w:kern w:val="2"/>
          <w:sz w:val="21"/>
          <w:szCs w:val="21"/>
          <w:lang w:val="en-US" w:eastAsia="zh-CN" w:bidi="ar-SA"/>
        </w:rPr>
        <w:t>等核心模块的配置与开通。</w:t>
      </w:r>
    </w:p>
    <w:p w14:paraId="6451197C">
      <w:pPr>
        <w:pStyle w:val="6"/>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导入结构化与非结构化知识资源，配置权限体系，实现统一身份认证集成。</w:t>
      </w:r>
    </w:p>
    <w:p w14:paraId="39547E9B">
      <w:pPr>
        <w:pStyle w:val="6"/>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0" w:beforeAutospacing="0" w:after="0" w:afterAutospacing="0" w:line="360" w:lineRule="auto"/>
        <w:ind w:left="840" w:leftChars="0" w:right="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完成系统测试与优化，确保平台稳定运行并正式上线。</w:t>
      </w:r>
    </w:p>
    <w:p w14:paraId="7F0689C6">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1"/>
          <w:szCs w:val="21"/>
        </w:rPr>
      </w:pPr>
      <w:r>
        <w:rPr>
          <w:rStyle w:val="9"/>
          <w:rFonts w:hint="default" w:ascii="宋体" w:hAnsi="宋体" w:eastAsia="宋体" w:cs="宋体"/>
          <w:b/>
          <w:color w:val="auto"/>
          <w:sz w:val="21"/>
          <w:szCs w:val="21"/>
          <w:lang w:val="en-US"/>
        </w:rPr>
        <w:t xml:space="preserve"> </w:t>
      </w:r>
      <w:r>
        <w:rPr>
          <w:rStyle w:val="9"/>
          <w:rFonts w:hint="eastAsia" w:ascii="宋体" w:hAnsi="宋体" w:eastAsia="宋体" w:cs="宋体"/>
          <w:b/>
          <w:color w:val="auto"/>
          <w:sz w:val="21"/>
          <w:szCs w:val="21"/>
          <w:lang w:val="en-US" w:eastAsia="zh-CN"/>
        </w:rPr>
        <w:t>专属</w:t>
      </w:r>
      <w:r>
        <w:rPr>
          <w:rStyle w:val="9"/>
          <w:rFonts w:hint="eastAsia" w:ascii="宋体" w:hAnsi="宋体" w:eastAsia="宋体" w:cs="宋体"/>
          <w:b/>
          <w:color w:val="auto"/>
          <w:sz w:val="21"/>
          <w:szCs w:val="21"/>
        </w:rPr>
        <w:t>零散需求</w:t>
      </w:r>
      <w:r>
        <w:rPr>
          <w:rFonts w:hint="eastAsia" w:ascii="宋体" w:hAnsi="宋体" w:eastAsia="宋体" w:cs="宋体"/>
          <w:color w:val="auto"/>
          <w:sz w:val="21"/>
          <w:szCs w:val="21"/>
          <w:lang w:val="en-US" w:eastAsia="zh-CN"/>
        </w:rPr>
        <w:t>支持</w:t>
      </w:r>
      <w:r>
        <w:rPr>
          <w:rStyle w:val="9"/>
          <w:rFonts w:hint="eastAsia" w:ascii="宋体" w:hAnsi="宋体" w:eastAsia="宋体" w:cs="宋体"/>
          <w:b/>
          <w:color w:val="auto"/>
          <w:sz w:val="21"/>
          <w:szCs w:val="21"/>
        </w:rPr>
        <w:t>阶段</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3年</w:t>
      </w:r>
      <w:r>
        <w:rPr>
          <w:rFonts w:hint="eastAsia" w:ascii="宋体" w:hAnsi="宋体" w:eastAsia="宋体" w:cs="宋体"/>
          <w:color w:val="auto"/>
          <w:sz w:val="21"/>
          <w:szCs w:val="21"/>
        </w:rPr>
        <w:t>）</w:t>
      </w:r>
    </w:p>
    <w:p w14:paraId="42EB344F">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rPr>
        <w:t>目标</w:t>
      </w:r>
      <w:r>
        <w:rPr>
          <w:rFonts w:hint="eastAsia" w:ascii="宋体" w:hAnsi="宋体" w:eastAsia="宋体" w:cs="宋体"/>
          <w:color w:val="auto"/>
          <w:sz w:val="21"/>
          <w:szCs w:val="21"/>
        </w:rPr>
        <w:t>：为学校提供零散需求的定制开发支持，确保快速响应学校的个性化需求。</w:t>
      </w:r>
    </w:p>
    <w:p w14:paraId="7123BDCA">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rPr>
        <w:t>主要工作内容</w:t>
      </w:r>
      <w:r>
        <w:rPr>
          <w:rFonts w:hint="eastAsia" w:ascii="宋体" w:hAnsi="宋体" w:eastAsia="宋体" w:cs="宋体"/>
          <w:color w:val="auto"/>
          <w:sz w:val="21"/>
          <w:szCs w:val="21"/>
        </w:rPr>
        <w:t>：</w:t>
      </w:r>
    </w:p>
    <w:p w14:paraId="657B317D">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0" w:beforeAutospacing="0" w:after="0" w:afterAutospacing="0" w:line="360" w:lineRule="auto"/>
        <w:ind w:left="126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提供零散需求的设计咨询服务，将需求转化为低代码开发方案。</w:t>
      </w:r>
    </w:p>
    <w:p w14:paraId="7287B26C">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0" w:beforeAutospacing="0" w:after="0" w:afterAutospacing="0" w:line="360" w:lineRule="auto"/>
        <w:ind w:left="126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提供开发指导，帮助校内团队进行零散需求的开发与配置，并确保功能交付与上线。</w:t>
      </w:r>
    </w:p>
    <w:p w14:paraId="625FA822">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1"/>
          <w:szCs w:val="21"/>
        </w:rPr>
      </w:pPr>
      <w:r>
        <w:rPr>
          <w:rStyle w:val="9"/>
          <w:rFonts w:hint="default" w:ascii="宋体" w:hAnsi="宋体" w:eastAsia="宋体" w:cs="宋体"/>
          <w:b/>
          <w:color w:val="auto"/>
          <w:sz w:val="21"/>
          <w:szCs w:val="21"/>
          <w:lang w:val="en-US"/>
        </w:rPr>
        <w:t xml:space="preserve"> </w:t>
      </w:r>
      <w:r>
        <w:rPr>
          <w:rStyle w:val="9"/>
          <w:rFonts w:hint="eastAsia" w:ascii="宋体" w:hAnsi="宋体" w:eastAsia="宋体" w:cs="宋体"/>
          <w:b/>
          <w:color w:val="auto"/>
          <w:sz w:val="21"/>
          <w:szCs w:val="21"/>
          <w:lang w:val="en-US" w:eastAsia="zh-CN"/>
        </w:rPr>
        <w:t>三</w:t>
      </w:r>
      <w:r>
        <w:rPr>
          <w:rStyle w:val="9"/>
          <w:rFonts w:hint="eastAsia" w:ascii="宋体" w:hAnsi="宋体" w:eastAsia="宋体" w:cs="宋体"/>
          <w:b/>
          <w:color w:val="auto"/>
          <w:sz w:val="21"/>
          <w:szCs w:val="21"/>
          <w:lang w:eastAsia="zh-CN"/>
        </w:rPr>
        <w:t>年</w:t>
      </w:r>
      <w:r>
        <w:rPr>
          <w:rStyle w:val="9"/>
          <w:rFonts w:hint="eastAsia" w:ascii="宋体" w:hAnsi="宋体" w:eastAsia="宋体" w:cs="宋体"/>
          <w:b/>
          <w:color w:val="auto"/>
          <w:sz w:val="21"/>
          <w:szCs w:val="21"/>
        </w:rPr>
        <w:t>运维阶段</w:t>
      </w:r>
      <w:r>
        <w:rPr>
          <w:rFonts w:hint="eastAsia" w:ascii="宋体" w:hAnsi="宋体" w:eastAsia="宋体" w:cs="宋体"/>
          <w:color w:val="auto"/>
          <w:sz w:val="21"/>
          <w:szCs w:val="21"/>
        </w:rPr>
        <w:t>（持续</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rPr>
        <w:t>）</w:t>
      </w:r>
    </w:p>
    <w:p w14:paraId="1A91AA25">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rPr>
        <w:t>目标</w:t>
      </w:r>
      <w:r>
        <w:rPr>
          <w:rFonts w:hint="eastAsia" w:ascii="宋体" w:hAnsi="宋体" w:eastAsia="宋体" w:cs="宋体"/>
          <w:color w:val="auto"/>
          <w:sz w:val="21"/>
          <w:szCs w:val="21"/>
        </w:rPr>
        <w:t>：确保系统的长期稳定运行，并进行必要的优化与更新。</w:t>
      </w:r>
    </w:p>
    <w:p w14:paraId="36366913">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Style w:val="9"/>
          <w:rFonts w:hint="eastAsia" w:ascii="宋体" w:hAnsi="宋体" w:eastAsia="宋体" w:cs="宋体"/>
          <w:color w:val="auto"/>
          <w:sz w:val="21"/>
          <w:szCs w:val="21"/>
        </w:rPr>
        <w:t>主要工作内容</w:t>
      </w:r>
      <w:r>
        <w:rPr>
          <w:rFonts w:hint="eastAsia" w:ascii="宋体" w:hAnsi="宋体" w:eastAsia="宋体" w:cs="宋体"/>
          <w:color w:val="auto"/>
          <w:sz w:val="21"/>
          <w:szCs w:val="21"/>
        </w:rPr>
        <w:t>：</w:t>
      </w:r>
    </w:p>
    <w:p w14:paraId="51E310E5">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0" w:beforeAutospacing="0" w:after="0" w:afterAutospacing="0" w:line="360" w:lineRule="auto"/>
        <w:ind w:left="126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提供持续的技术支持，排查和修复系统故障。</w:t>
      </w:r>
    </w:p>
    <w:p w14:paraId="3467CD47">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0" w:beforeAutospacing="0" w:after="0" w:afterAutospacing="0" w:line="360" w:lineRule="auto"/>
        <w:ind w:left="126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根据需求变化对系统进行优化与功能扩展，确保系统持续满足学校的业务需求。</w:t>
      </w:r>
    </w:p>
    <w:p w14:paraId="3B3B87B6">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0" w:beforeAutospacing="0" w:after="0" w:afterAutospacing="0" w:line="360" w:lineRule="auto"/>
        <w:ind w:left="126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定期巡查系统运行情况，并进行必要的版本更新和维护。</w:t>
      </w:r>
    </w:p>
    <w:p w14:paraId="0A55F54B">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color w:val="auto"/>
        </w:rPr>
      </w:pPr>
      <w:r>
        <w:rPr>
          <w:rFonts w:hint="eastAsia" w:ascii="宋体" w:hAnsi="宋体" w:eastAsia="宋体" w:cs="宋体"/>
          <w:b/>
          <w:bCs w:val="0"/>
          <w:color w:val="auto"/>
          <w:sz w:val="21"/>
          <w:szCs w:val="21"/>
          <w:lang w:val="en-US" w:eastAsia="zh-CN"/>
        </w:rPr>
        <w:t>供应商要求</w:t>
      </w:r>
    </w:p>
    <w:p w14:paraId="4F0708CF">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color w:val="auto"/>
        </w:rPr>
      </w:pPr>
      <w:r>
        <w:rPr>
          <w:rStyle w:val="9"/>
          <w:b/>
          <w:color w:val="auto"/>
        </w:rPr>
        <w:t>专业能力与资质</w:t>
      </w:r>
    </w:p>
    <w:p w14:paraId="7FA89663">
      <w:pPr>
        <w:keepNext w:val="0"/>
        <w:keepLines w:val="0"/>
        <w:pageBreakBefore w:val="0"/>
        <w:widowControl/>
        <w:numPr>
          <w:ilvl w:val="0"/>
          <w:numId w:val="9"/>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rPr>
        <w:t>供应商须具备</w:t>
      </w:r>
      <w:r>
        <w:rPr>
          <w:rFonts w:hint="eastAsia"/>
          <w:color w:val="auto"/>
          <w:lang w:val="en-US" w:eastAsia="zh-CN"/>
        </w:rPr>
        <w:t>AI</w:t>
      </w:r>
      <w:r>
        <w:rPr>
          <w:rFonts w:hint="eastAsia"/>
          <w:color w:val="auto"/>
          <w:lang w:eastAsia="zh-CN"/>
        </w:rPr>
        <w:t>低代码一体化开发基座</w:t>
      </w:r>
      <w:r>
        <w:rPr>
          <w:color w:val="auto"/>
        </w:rPr>
        <w:t>的技术研发能力及</w:t>
      </w:r>
      <w:r>
        <w:rPr>
          <w:rFonts w:hint="eastAsia"/>
          <w:color w:val="auto"/>
          <w:lang w:val="en-US" w:eastAsia="zh-CN"/>
        </w:rPr>
        <w:t>AI知识服务平台</w:t>
      </w:r>
      <w:r>
        <w:rPr>
          <w:color w:val="auto"/>
        </w:rPr>
        <w:t>相关的开发与实施经验，能够提供成熟、稳定的解决方案。</w:t>
      </w:r>
    </w:p>
    <w:p w14:paraId="7EADBD2A">
      <w:pPr>
        <w:keepNext w:val="0"/>
        <w:keepLines w:val="0"/>
        <w:pageBreakBefore w:val="0"/>
        <w:widowControl/>
        <w:numPr>
          <w:ilvl w:val="0"/>
          <w:numId w:val="9"/>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rPr>
        <w:t>供应商需持有与</w:t>
      </w:r>
      <w:r>
        <w:rPr>
          <w:rFonts w:hint="eastAsia"/>
          <w:color w:val="auto"/>
          <w:lang w:eastAsia="zh-CN"/>
        </w:rPr>
        <w:t>低代码一体化开发基座</w:t>
      </w:r>
      <w:r>
        <w:rPr>
          <w:color w:val="auto"/>
        </w:rPr>
        <w:t>及</w:t>
      </w:r>
      <w:r>
        <w:rPr>
          <w:rFonts w:hint="eastAsia"/>
          <w:color w:val="auto"/>
          <w:lang w:val="en-US" w:eastAsia="zh-CN"/>
        </w:rPr>
        <w:t>多模态知识工具</w:t>
      </w:r>
      <w:r>
        <w:rPr>
          <w:color w:val="auto"/>
        </w:rPr>
        <w:t>相关的</w:t>
      </w:r>
      <w:r>
        <w:rPr>
          <w:rFonts w:hint="eastAsia"/>
          <w:color w:val="auto"/>
          <w:lang w:val="en-US" w:eastAsia="zh-CN"/>
        </w:rPr>
        <w:t>核心技术自主研发的证明材料，包括但不限于：技术白皮书（说明低代码平台架构、多模态工具技术原理）、近 1 年内同类项目案例（需提供合同关键页及功能验收报告，证明已实现上述技术能力）、软件著作权（与低代码开发或多模态处理相关的软件著作权）。</w:t>
      </w:r>
      <w:r>
        <w:rPr>
          <w:color w:val="auto"/>
        </w:rPr>
        <w:t>作为技术能力和知识产权的证明。</w:t>
      </w:r>
    </w:p>
    <w:p w14:paraId="3FE4E750">
      <w:pPr>
        <w:keepNext w:val="0"/>
        <w:keepLines w:val="0"/>
        <w:pageBreakBefore w:val="0"/>
        <w:widowControl/>
        <w:numPr>
          <w:ilvl w:val="0"/>
          <w:numId w:val="9"/>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rFonts w:hint="eastAsia"/>
          <w:color w:val="auto"/>
        </w:rPr>
        <w:t>供应商需承诺提供的产品不存在知识产权纠纷，若涉及第三方技术授权，需提供合法授权文件。</w:t>
      </w:r>
    </w:p>
    <w:p w14:paraId="73D4C44B">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color w:val="auto"/>
        </w:rPr>
      </w:pPr>
      <w:r>
        <w:rPr>
          <w:rStyle w:val="9"/>
          <w:b/>
          <w:color w:val="auto"/>
        </w:rPr>
        <w:t>协同开发能力</w:t>
      </w:r>
    </w:p>
    <w:p w14:paraId="40B5544A">
      <w:pPr>
        <w:keepNext w:val="0"/>
        <w:keepLines w:val="0"/>
        <w:pageBreakBefore w:val="0"/>
        <w:widowControl/>
        <w:numPr>
          <w:ilvl w:val="0"/>
          <w:numId w:val="10"/>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rPr>
        <w:t>供应商需具备构建协同开发体系的能力，通过与校内团队的密切配合，提升校内团队的自主开发能力。</w:t>
      </w:r>
    </w:p>
    <w:p w14:paraId="0CB4166D">
      <w:pPr>
        <w:keepNext w:val="0"/>
        <w:keepLines w:val="0"/>
        <w:pageBreakBefore w:val="0"/>
        <w:widowControl/>
        <w:numPr>
          <w:ilvl w:val="0"/>
          <w:numId w:val="10"/>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lang w:val="en-US" w:eastAsia="zh-CN"/>
        </w:rPr>
        <w:t>能够提供远程技术支持</w:t>
      </w:r>
      <w:r>
        <w:rPr>
          <w:rFonts w:hint="eastAsia"/>
          <w:color w:val="auto"/>
          <w:lang w:val="en-US" w:eastAsia="zh-CN"/>
        </w:rPr>
        <w:t>及按需驻场</w:t>
      </w:r>
      <w:r>
        <w:rPr>
          <w:color w:val="auto"/>
          <w:lang w:val="en-US" w:eastAsia="zh-CN"/>
        </w:rPr>
        <w:t>服务，为校内团队提供以下支持内容：</w:t>
      </w:r>
    </w:p>
    <w:p w14:paraId="7A86C690">
      <w:pPr>
        <w:pStyle w:val="6"/>
        <w:keepNext w:val="0"/>
        <w:keepLines w:val="0"/>
        <w:pageBreakBefore w:val="0"/>
        <w:widowControl/>
        <w:numPr>
          <w:ilvl w:val="0"/>
          <w:numId w:val="11"/>
        </w:numPr>
        <w:suppressLineNumbers w:val="0"/>
        <w:kinsoku/>
        <w:wordWrap/>
        <w:overflowPunct/>
        <w:topLinePunct w:val="0"/>
        <w:autoSpaceDE/>
        <w:autoSpaceDN/>
        <w:bidi w:val="0"/>
        <w:adjustRightInd w:val="0"/>
        <w:snapToGrid w:val="0"/>
        <w:spacing w:before="0" w:beforeAutospacing="0" w:after="0" w:afterAutospacing="0" w:line="360" w:lineRule="auto"/>
        <w:ind w:left="1260" w:leftChars="0" w:right="0" w:hanging="420" w:firstLineChars="0"/>
        <w:textAlignment w:val="auto"/>
        <w:rPr>
          <w:rFonts w:asciiTheme="minorHAnsi" w:hAnsiTheme="minorHAnsi" w:eastAsiaTheme="minorEastAsia" w:cstheme="minorBidi"/>
          <w:color w:val="auto"/>
          <w:kern w:val="2"/>
          <w:sz w:val="21"/>
          <w:szCs w:val="24"/>
          <w:lang w:val="en-US" w:eastAsia="zh-CN" w:bidi="ar-SA"/>
        </w:rPr>
      </w:pPr>
      <w:r>
        <w:rPr>
          <w:rFonts w:asciiTheme="minorHAnsi" w:hAnsiTheme="minorHAnsi" w:eastAsiaTheme="minorEastAsia" w:cstheme="minorBidi"/>
          <w:color w:val="auto"/>
          <w:kern w:val="2"/>
          <w:sz w:val="21"/>
          <w:szCs w:val="24"/>
          <w:lang w:val="en-US" w:eastAsia="zh-CN" w:bidi="ar-SA"/>
        </w:rPr>
        <w:t>AI知识服务平台的部署指导与功能配置支持。</w:t>
      </w:r>
    </w:p>
    <w:p w14:paraId="20E208DA">
      <w:pPr>
        <w:pStyle w:val="6"/>
        <w:keepNext w:val="0"/>
        <w:keepLines w:val="0"/>
        <w:pageBreakBefore w:val="0"/>
        <w:widowControl/>
        <w:numPr>
          <w:ilvl w:val="0"/>
          <w:numId w:val="11"/>
        </w:numPr>
        <w:suppressLineNumbers w:val="0"/>
        <w:kinsoku/>
        <w:wordWrap/>
        <w:overflowPunct/>
        <w:topLinePunct w:val="0"/>
        <w:autoSpaceDE/>
        <w:autoSpaceDN/>
        <w:bidi w:val="0"/>
        <w:adjustRightInd w:val="0"/>
        <w:snapToGrid w:val="0"/>
        <w:spacing w:before="0" w:beforeAutospacing="0" w:after="0" w:afterAutospacing="0" w:line="360" w:lineRule="auto"/>
        <w:ind w:left="1260" w:leftChars="0" w:right="0" w:hanging="420" w:firstLineChars="0"/>
        <w:textAlignment w:val="auto"/>
        <w:rPr>
          <w:rFonts w:asciiTheme="minorHAnsi" w:hAnsiTheme="minorHAnsi" w:eastAsiaTheme="minorEastAsia" w:cstheme="minorBidi"/>
          <w:color w:val="auto"/>
          <w:kern w:val="2"/>
          <w:sz w:val="21"/>
          <w:szCs w:val="24"/>
          <w:lang w:val="en-US" w:eastAsia="zh-CN" w:bidi="ar-SA"/>
        </w:rPr>
      </w:pPr>
      <w:r>
        <w:rPr>
          <w:rFonts w:hint="eastAsia" w:cstheme="minorBidi"/>
          <w:color w:val="auto"/>
          <w:kern w:val="2"/>
          <w:sz w:val="21"/>
          <w:szCs w:val="24"/>
          <w:lang w:val="en-US" w:eastAsia="zh-CN" w:bidi="ar-SA"/>
        </w:rPr>
        <w:t>AI低代码一体化开发基座</w:t>
      </w:r>
      <w:r>
        <w:rPr>
          <w:rFonts w:asciiTheme="minorHAnsi" w:hAnsiTheme="minorHAnsi" w:eastAsiaTheme="minorEastAsia" w:cstheme="minorBidi"/>
          <w:color w:val="auto"/>
          <w:kern w:val="2"/>
          <w:sz w:val="21"/>
          <w:szCs w:val="24"/>
          <w:lang w:val="en-US" w:eastAsia="zh-CN" w:bidi="ar-SA"/>
        </w:rPr>
        <w:t>的远程培训，帮助校内团队掌握平台操作与开发技能。</w:t>
      </w:r>
    </w:p>
    <w:p w14:paraId="5A3FF639">
      <w:pPr>
        <w:pStyle w:val="6"/>
        <w:keepNext w:val="0"/>
        <w:keepLines w:val="0"/>
        <w:pageBreakBefore w:val="0"/>
        <w:widowControl/>
        <w:numPr>
          <w:ilvl w:val="0"/>
          <w:numId w:val="11"/>
        </w:numPr>
        <w:suppressLineNumbers w:val="0"/>
        <w:kinsoku/>
        <w:wordWrap/>
        <w:overflowPunct/>
        <w:topLinePunct w:val="0"/>
        <w:autoSpaceDE/>
        <w:autoSpaceDN/>
        <w:bidi w:val="0"/>
        <w:adjustRightInd w:val="0"/>
        <w:snapToGrid w:val="0"/>
        <w:spacing w:before="0" w:beforeAutospacing="0" w:after="0" w:afterAutospacing="0" w:line="360" w:lineRule="auto"/>
        <w:ind w:left="1260" w:leftChars="0" w:right="0" w:hanging="420" w:firstLineChars="0"/>
        <w:textAlignment w:val="auto"/>
        <w:rPr>
          <w:rFonts w:asciiTheme="minorHAnsi" w:hAnsiTheme="minorHAnsi" w:eastAsiaTheme="minorEastAsia" w:cstheme="minorBidi"/>
          <w:color w:val="auto"/>
          <w:kern w:val="2"/>
          <w:sz w:val="21"/>
          <w:szCs w:val="24"/>
          <w:lang w:val="en-US" w:eastAsia="zh-CN" w:bidi="ar-SA"/>
        </w:rPr>
      </w:pPr>
      <w:r>
        <w:rPr>
          <w:rFonts w:asciiTheme="minorHAnsi" w:hAnsiTheme="minorHAnsi" w:eastAsiaTheme="minorEastAsia" w:cstheme="minorBidi"/>
          <w:color w:val="auto"/>
          <w:kern w:val="2"/>
          <w:sz w:val="21"/>
          <w:szCs w:val="24"/>
          <w:lang w:val="en-US" w:eastAsia="zh-CN" w:bidi="ar-SA"/>
        </w:rPr>
        <w:t>零散需求的咨询服务，协助校内团队分析业务需求并制定开发方案</w:t>
      </w:r>
      <w:r>
        <w:rPr>
          <w:rFonts w:hint="eastAsia" w:cstheme="minorBidi"/>
          <w:color w:val="auto"/>
          <w:kern w:val="2"/>
          <w:sz w:val="21"/>
          <w:szCs w:val="24"/>
          <w:lang w:val="en-US" w:eastAsia="zh-CN" w:bidi="ar-SA"/>
        </w:rPr>
        <w:t>，完成定制开发服务</w:t>
      </w:r>
      <w:r>
        <w:rPr>
          <w:rFonts w:asciiTheme="minorHAnsi" w:hAnsiTheme="minorHAnsi" w:eastAsiaTheme="minorEastAsia" w:cstheme="minorBidi"/>
          <w:color w:val="auto"/>
          <w:kern w:val="2"/>
          <w:sz w:val="21"/>
          <w:szCs w:val="24"/>
          <w:lang w:val="en-US" w:eastAsia="zh-CN" w:bidi="ar-SA"/>
        </w:rPr>
        <w:t>。</w:t>
      </w:r>
    </w:p>
    <w:p w14:paraId="17C6205A">
      <w:pPr>
        <w:pStyle w:val="6"/>
        <w:keepNext w:val="0"/>
        <w:keepLines w:val="0"/>
        <w:pageBreakBefore w:val="0"/>
        <w:widowControl/>
        <w:numPr>
          <w:ilvl w:val="0"/>
          <w:numId w:val="11"/>
        </w:numPr>
        <w:suppressLineNumbers w:val="0"/>
        <w:kinsoku/>
        <w:wordWrap/>
        <w:overflowPunct/>
        <w:topLinePunct w:val="0"/>
        <w:autoSpaceDE/>
        <w:autoSpaceDN/>
        <w:bidi w:val="0"/>
        <w:adjustRightInd w:val="0"/>
        <w:snapToGrid w:val="0"/>
        <w:spacing w:before="0" w:beforeAutospacing="0" w:after="0" w:afterAutospacing="0" w:line="360" w:lineRule="auto"/>
        <w:ind w:left="1260" w:leftChars="0" w:right="0" w:hanging="420" w:firstLineChars="0"/>
        <w:textAlignment w:val="auto"/>
        <w:rPr>
          <w:rFonts w:asciiTheme="minorHAnsi" w:hAnsiTheme="minorHAnsi" w:eastAsiaTheme="minorEastAsia" w:cstheme="minorBidi"/>
          <w:color w:val="auto"/>
          <w:kern w:val="2"/>
          <w:sz w:val="21"/>
          <w:szCs w:val="24"/>
          <w:lang w:val="en-US" w:eastAsia="zh-CN" w:bidi="ar-SA"/>
        </w:rPr>
      </w:pPr>
      <w:r>
        <w:rPr>
          <w:rFonts w:hint="eastAsia" w:cstheme="minorBidi"/>
          <w:color w:val="auto"/>
          <w:kern w:val="2"/>
          <w:sz w:val="21"/>
          <w:szCs w:val="24"/>
          <w:lang w:val="en-US" w:eastAsia="zh-CN" w:bidi="ar-SA"/>
        </w:rPr>
        <w:t>低代码一体化开发基座</w:t>
      </w:r>
      <w:r>
        <w:rPr>
          <w:rFonts w:asciiTheme="minorHAnsi" w:hAnsiTheme="minorHAnsi" w:eastAsiaTheme="minorEastAsia" w:cstheme="minorBidi"/>
          <w:color w:val="auto"/>
          <w:kern w:val="2"/>
          <w:sz w:val="21"/>
          <w:szCs w:val="24"/>
          <w:lang w:val="en-US" w:eastAsia="zh-CN" w:bidi="ar-SA"/>
        </w:rPr>
        <w:t>的开发指导，确保校内团队具备独立完成开发任务的能力。</w:t>
      </w:r>
    </w:p>
    <w:p w14:paraId="62316050">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eastAsiaTheme="minorEastAsia"/>
          <w:color w:val="auto"/>
          <w:lang w:eastAsia="zh-CN"/>
        </w:rPr>
      </w:pPr>
      <w:r>
        <w:rPr>
          <w:rStyle w:val="9"/>
          <w:b/>
          <w:color w:val="auto"/>
        </w:rPr>
        <w:t>项目管理能力</w:t>
      </w:r>
    </w:p>
    <w:p w14:paraId="4AC126D7">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rPr>
        <w:t>供应商需具备丰富的项目管理经验，能够提供清晰的项目实施计划，确保项目按期完成。</w:t>
      </w:r>
    </w:p>
    <w:p w14:paraId="27034B52">
      <w:pPr>
        <w:keepNext w:val="0"/>
        <w:keepLines w:val="0"/>
        <w:pageBreakBefore w:val="0"/>
        <w:widowControl/>
        <w:numPr>
          <w:ilvl w:val="0"/>
          <w:numId w:val="12"/>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rPr>
        <w:t>能够提供标准化的项目交付流程，包括需求确认、系统测试、上线交付、培训与支持等环节，确保交付质量和用户满意度。</w:t>
      </w:r>
    </w:p>
    <w:p w14:paraId="27326819">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color w:val="auto"/>
        </w:rPr>
      </w:pPr>
      <w:r>
        <w:rPr>
          <w:rStyle w:val="9"/>
          <w:b/>
          <w:color w:val="auto"/>
        </w:rPr>
        <w:t>运维保障能力</w:t>
      </w:r>
    </w:p>
    <w:p w14:paraId="204E7784">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rPr>
        <w:t>供应商需提供</w:t>
      </w:r>
      <w:r>
        <w:rPr>
          <w:rFonts w:hint="eastAsia"/>
          <w:color w:val="auto"/>
          <w:lang w:val="en-US" w:eastAsia="zh-CN"/>
        </w:rPr>
        <w:t>三</w:t>
      </w:r>
      <w:r>
        <w:rPr>
          <w:rFonts w:hint="eastAsia"/>
          <w:color w:val="auto"/>
          <w:lang w:eastAsia="zh-CN"/>
        </w:rPr>
        <w:t>年</w:t>
      </w:r>
      <w:r>
        <w:rPr>
          <w:color w:val="auto"/>
        </w:rPr>
        <w:t>的运维支持服务，包括系统巡检、版本更新、故障排查及功能优化，确保系统长期稳定运行。</w:t>
      </w:r>
    </w:p>
    <w:p w14:paraId="22841C1C">
      <w:pPr>
        <w:keepNext w:val="0"/>
        <w:keepLines w:val="0"/>
        <w:pageBreakBefore w:val="0"/>
        <w:widowControl/>
        <w:numPr>
          <w:ilvl w:val="0"/>
          <w:numId w:val="13"/>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rPr>
        <w:t>能够根据学校的业务发展需求，及时调整系统功能，提供长期技术支持与优化服务。</w:t>
      </w:r>
    </w:p>
    <w:p w14:paraId="45ACE492">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Style w:val="9"/>
          <w:rFonts w:ascii="Times New Roman" w:hAnsi="Times New Roman" w:eastAsia="宋体" w:cs="Times New Roman"/>
          <w:b/>
          <w:color w:val="auto"/>
        </w:rPr>
      </w:pPr>
      <w:r>
        <w:rPr>
          <w:rStyle w:val="9"/>
          <w:rFonts w:hint="eastAsia" w:ascii="Times New Roman" w:hAnsi="Times New Roman" w:eastAsia="宋体" w:cs="Times New Roman"/>
          <w:b/>
          <w:color w:val="auto"/>
          <w:lang w:val="en-US" w:eastAsia="zh-CN"/>
        </w:rPr>
        <w:t>系统协同</w:t>
      </w:r>
      <w:r>
        <w:rPr>
          <w:rStyle w:val="9"/>
          <w:rFonts w:ascii="Times New Roman" w:hAnsi="Times New Roman" w:eastAsia="宋体" w:cs="Times New Roman"/>
          <w:b/>
          <w:color w:val="auto"/>
        </w:rPr>
        <w:t>能力</w:t>
      </w:r>
    </w:p>
    <w:p w14:paraId="7486EB48">
      <w:pPr>
        <w:keepNext w:val="0"/>
        <w:keepLines w:val="0"/>
        <w:pageBreakBefore w:val="0"/>
        <w:widowControl/>
        <w:numPr>
          <w:ilvl w:val="0"/>
          <w:numId w:val="14"/>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rFonts w:hint="eastAsia"/>
          <w:color w:val="auto"/>
          <w:lang w:val="en-US" w:eastAsia="zh-CN"/>
        </w:rPr>
        <w:t>数据安全保障：系统</w:t>
      </w:r>
      <w:r>
        <w:rPr>
          <w:color w:val="auto"/>
        </w:rPr>
        <w:t>具备完善的数据安全保障机制，确保数据存储和传输的安全性，符合国家信息安全管理相关要求。</w:t>
      </w:r>
    </w:p>
    <w:p w14:paraId="798620D4">
      <w:pPr>
        <w:keepNext w:val="0"/>
        <w:keepLines w:val="0"/>
        <w:pageBreakBefore w:val="0"/>
        <w:widowControl/>
        <w:numPr>
          <w:ilvl w:val="0"/>
          <w:numId w:val="14"/>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rPr>
        <w:t>统一身份认证对接</w:t>
      </w:r>
      <w:r>
        <w:rPr>
          <w:rFonts w:hint="eastAsia"/>
          <w:color w:val="auto"/>
          <w:lang w:eastAsia="zh-CN"/>
        </w:rPr>
        <w:t>：</w:t>
      </w:r>
      <w:r>
        <w:rPr>
          <w:color w:val="auto"/>
        </w:rPr>
        <w:t>系统需支持与学校的统一身份认证平台对接，确保用户认证的一致性与管理的高效性。</w:t>
      </w:r>
    </w:p>
    <w:p w14:paraId="486484F8">
      <w:pPr>
        <w:keepNext w:val="0"/>
        <w:keepLines w:val="0"/>
        <w:pageBreakBefore w:val="0"/>
        <w:widowControl/>
        <w:numPr>
          <w:ilvl w:val="0"/>
          <w:numId w:val="14"/>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rPr>
        <w:t>数据中心同步</w:t>
      </w:r>
      <w:r>
        <w:rPr>
          <w:rFonts w:hint="eastAsia"/>
          <w:color w:val="auto"/>
          <w:lang w:eastAsia="zh-CN"/>
        </w:rPr>
        <w:t>：</w:t>
      </w:r>
      <w:r>
        <w:rPr>
          <w:color w:val="auto"/>
        </w:rPr>
        <w:t>系统运行过程中需实现数据的自动化同步，将关键数据汇聚至学校的数据中心，为后续的数据分析和决策提供支持。</w:t>
      </w:r>
    </w:p>
    <w:p w14:paraId="4B82B881">
      <w:pPr>
        <w:keepNext w:val="0"/>
        <w:keepLines w:val="0"/>
        <w:pageBreakBefore w:val="0"/>
        <w:widowControl/>
        <w:numPr>
          <w:ilvl w:val="0"/>
          <w:numId w:val="14"/>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rPr>
        <w:t>基础数据接入</w:t>
      </w:r>
      <w:r>
        <w:rPr>
          <w:rFonts w:hint="eastAsia"/>
          <w:color w:val="auto"/>
          <w:lang w:eastAsia="zh-CN"/>
        </w:rPr>
        <w:t>：</w:t>
      </w:r>
      <w:r>
        <w:rPr>
          <w:color w:val="auto"/>
        </w:rPr>
        <w:t>系统需支持与学校教职工、单位等基础数据的对接，实现信息的无缝共享与统一管理，确保数据的完整性和准确性。</w:t>
      </w:r>
    </w:p>
    <w:p w14:paraId="0BFBBE7D">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color w:val="auto"/>
        </w:rPr>
      </w:pPr>
      <w:r>
        <w:rPr>
          <w:rStyle w:val="9"/>
          <w:b/>
          <w:color w:val="auto"/>
        </w:rPr>
        <w:t>技术服务能力</w:t>
      </w:r>
    </w:p>
    <w:p w14:paraId="4580CC41">
      <w:pPr>
        <w:keepNext w:val="0"/>
        <w:keepLines w:val="0"/>
        <w:pageBreakBefore w:val="0"/>
        <w:widowControl/>
        <w:numPr>
          <w:ilvl w:val="0"/>
          <w:numId w:val="15"/>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color w:val="auto"/>
        </w:rPr>
      </w:pPr>
      <w:r>
        <w:rPr>
          <w:color w:val="auto"/>
        </w:rPr>
        <w:t>供应商需具备为校内团队提供技术答疑、问题排查和技术培训的能力，确保校内团队能够快速掌握系统使用及开发方法。</w:t>
      </w:r>
    </w:p>
    <w:p w14:paraId="496759C2">
      <w:pPr>
        <w:keepNext w:val="0"/>
        <w:keepLines w:val="0"/>
        <w:pageBreakBefore w:val="0"/>
        <w:widowControl/>
        <w:numPr>
          <w:ilvl w:val="0"/>
          <w:numId w:val="15"/>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rFonts w:hint="eastAsia" w:ascii="宋体" w:hAnsi="宋体" w:eastAsia="宋体" w:cs="宋体"/>
          <w:color w:val="auto"/>
          <w:sz w:val="21"/>
          <w:szCs w:val="21"/>
        </w:rPr>
      </w:pPr>
      <w:r>
        <w:rPr>
          <w:color w:val="auto"/>
        </w:rPr>
        <w:t>在遇到紧急需求时，能够快速响应并提供有效的技术解决方案，确保项目运行不受影响。</w:t>
      </w:r>
    </w:p>
    <w:p w14:paraId="5A70AED0">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color w:val="auto"/>
        </w:rPr>
      </w:pPr>
      <w:r>
        <w:rPr>
          <w:rFonts w:hint="eastAsia"/>
          <w:color w:val="auto"/>
          <w:lang w:val="en-US" w:eastAsia="zh-CN"/>
        </w:rPr>
        <w:t>网络安全保障能力</w:t>
      </w:r>
    </w:p>
    <w:p w14:paraId="4DE03A83">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厂商需全面落实网络安全保障措施。厂商须承诺在项目全生命周期内，积极配合处理网络安全问题，若因厂商提供的技术或服务未达要求导致安全事件，厂商应承担相应整改及赔偿责任，且项目需配合学校完成网络安全等级保护测评，并提供承诺函 。</w:t>
      </w:r>
    </w:p>
    <w:p w14:paraId="2436BC2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420" w:leftChars="0"/>
        <w:textAlignment w:val="auto"/>
        <w:rPr>
          <w:rFonts w:hint="eastAsia" w:ascii="宋体" w:hAnsi="宋体" w:eastAsia="宋体" w:cs="宋体"/>
          <w:color w:val="auto"/>
          <w:sz w:val="21"/>
          <w:szCs w:val="21"/>
        </w:rPr>
      </w:pPr>
    </w:p>
    <w:p w14:paraId="7D7551E7">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其它要求</w:t>
      </w:r>
    </w:p>
    <w:p w14:paraId="6E0C1C7E">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color w:val="auto"/>
        </w:rPr>
      </w:pPr>
      <w:r>
        <w:rPr>
          <w:rFonts w:hint="eastAsia"/>
          <w:color w:val="auto"/>
          <w:lang w:val="en-US" w:eastAsia="zh-CN"/>
        </w:rPr>
        <w:t>知识产权界定（需提供相关承诺函）</w:t>
      </w:r>
    </w:p>
    <w:p w14:paraId="3D806D2F">
      <w:pPr>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rFonts w:hint="eastAsia"/>
          <w:color w:val="auto"/>
        </w:rPr>
      </w:pPr>
      <w:r>
        <w:rPr>
          <w:rFonts w:hint="eastAsia"/>
          <w:color w:val="auto"/>
        </w:rPr>
        <w:t>平台知识产权归属：</w:t>
      </w:r>
      <w:r>
        <w:rPr>
          <w:rFonts w:hint="eastAsia"/>
          <w:color w:val="auto"/>
          <w:lang w:val="en-US" w:eastAsia="zh-CN"/>
        </w:rPr>
        <w:t>供应商</w:t>
      </w:r>
      <w:r>
        <w:rPr>
          <w:rFonts w:hint="eastAsia"/>
          <w:color w:val="auto"/>
        </w:rPr>
        <w:t>交付的 AI 低代码一体化开发基座相关的知识产权（包括但不限于著作权、专利权、商标权等），除另有约定外，归</w:t>
      </w:r>
      <w:r>
        <w:rPr>
          <w:rFonts w:hint="eastAsia"/>
          <w:color w:val="auto"/>
          <w:lang w:val="en-US" w:eastAsia="zh-CN"/>
        </w:rPr>
        <w:t>供应商</w:t>
      </w:r>
      <w:r>
        <w:rPr>
          <w:rFonts w:hint="eastAsia"/>
          <w:color w:val="auto"/>
        </w:rPr>
        <w:t>所有。但</w:t>
      </w:r>
      <w:r>
        <w:rPr>
          <w:rFonts w:hint="eastAsia"/>
          <w:color w:val="auto"/>
          <w:lang w:val="en-US" w:eastAsia="zh-CN"/>
        </w:rPr>
        <w:t>供应商</w:t>
      </w:r>
      <w:r>
        <w:rPr>
          <w:rFonts w:hint="eastAsia"/>
          <w:color w:val="auto"/>
        </w:rPr>
        <w:t>授予</w:t>
      </w:r>
      <w:r>
        <w:rPr>
          <w:rFonts w:hint="eastAsia"/>
          <w:color w:val="auto"/>
          <w:lang w:val="en-US" w:eastAsia="zh-CN"/>
        </w:rPr>
        <w:t>校方</w:t>
      </w:r>
      <w:r>
        <w:rPr>
          <w:rFonts w:hint="eastAsia"/>
          <w:color w:val="auto"/>
        </w:rPr>
        <w:t>在本项目范围内的独家、不可撤销、免许可费的使用许可，用于基于该开发基座进行业务系统开发及运营。</w:t>
      </w:r>
    </w:p>
    <w:p w14:paraId="6F342600">
      <w:pPr>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rFonts w:hint="eastAsia"/>
          <w:color w:val="auto"/>
        </w:rPr>
      </w:pPr>
      <w:r>
        <w:rPr>
          <w:rFonts w:hint="eastAsia"/>
          <w:color w:val="auto"/>
        </w:rPr>
        <w:t>业务系统知识产权：</w:t>
      </w:r>
      <w:r>
        <w:rPr>
          <w:rFonts w:hint="eastAsia"/>
          <w:color w:val="auto"/>
          <w:lang w:val="en-US" w:eastAsia="zh-CN"/>
        </w:rPr>
        <w:t>校方</w:t>
      </w:r>
      <w:r>
        <w:rPr>
          <w:rFonts w:hint="eastAsia"/>
          <w:color w:val="auto"/>
        </w:rPr>
        <w:t>利用AI低代码一体化开发基座自主组织开发团队进行业务系统开发所产生的成果，包括但不限于代码、文档、数据模型等，其知识产权归</w:t>
      </w:r>
      <w:r>
        <w:rPr>
          <w:rFonts w:hint="eastAsia"/>
          <w:color w:val="auto"/>
          <w:lang w:val="en-US" w:eastAsia="zh-CN"/>
        </w:rPr>
        <w:t>校方</w:t>
      </w:r>
      <w:r>
        <w:rPr>
          <w:rFonts w:hint="eastAsia"/>
          <w:color w:val="auto"/>
        </w:rPr>
        <w:t>所有。</w:t>
      </w:r>
      <w:r>
        <w:rPr>
          <w:rFonts w:hint="eastAsia"/>
          <w:color w:val="auto"/>
          <w:lang w:val="en-US" w:eastAsia="zh-CN"/>
        </w:rPr>
        <w:t>供应商</w:t>
      </w:r>
      <w:r>
        <w:rPr>
          <w:rFonts w:hint="eastAsia"/>
          <w:color w:val="auto"/>
        </w:rPr>
        <w:t>承诺不就该部分</w:t>
      </w:r>
      <w:r>
        <w:rPr>
          <w:rFonts w:hint="eastAsia"/>
          <w:color w:val="auto"/>
          <w:lang w:val="en-US" w:eastAsia="zh-CN"/>
        </w:rPr>
        <w:t>校方</w:t>
      </w:r>
      <w:r>
        <w:rPr>
          <w:rFonts w:hint="eastAsia"/>
          <w:color w:val="auto"/>
        </w:rPr>
        <w:t>自主开发的业务系统主张任何知识产权权利。</w:t>
      </w:r>
    </w:p>
    <w:p w14:paraId="2098B19E">
      <w:pPr>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rFonts w:hint="eastAsia"/>
          <w:color w:val="auto"/>
        </w:rPr>
      </w:pPr>
      <w:r>
        <w:rPr>
          <w:rFonts w:hint="eastAsia"/>
          <w:color w:val="auto"/>
        </w:rPr>
        <w:t>知识产权保护协助：双方均应采取合理措施保护对方的知识产权。若因第三方侵权等事由，一方需要另一方协助处理相关知识产权纠纷，另一方应在合理范围内提供必要协助，包括但不限于提供相关文件、技术说明等。</w:t>
      </w:r>
    </w:p>
    <w:p w14:paraId="258ACDAB">
      <w:pPr>
        <w:keepNext w:val="0"/>
        <w:keepLines w:val="0"/>
        <w:pageBreakBefore w:val="0"/>
        <w:widowControl/>
        <w:numPr>
          <w:ilvl w:val="0"/>
          <w:numId w:val="16"/>
        </w:numPr>
        <w:suppressLineNumbers w:val="0"/>
        <w:kinsoku/>
        <w:wordWrap/>
        <w:overflowPunct/>
        <w:topLinePunct w:val="0"/>
        <w:autoSpaceDE/>
        <w:autoSpaceDN/>
        <w:bidi w:val="0"/>
        <w:adjustRightInd w:val="0"/>
        <w:snapToGrid w:val="0"/>
        <w:spacing w:before="0" w:beforeAutospacing="0" w:after="0" w:afterAutospacing="0" w:line="360" w:lineRule="auto"/>
        <w:ind w:left="845" w:leftChars="0" w:hanging="425" w:firstLineChars="0"/>
        <w:textAlignment w:val="auto"/>
        <w:rPr>
          <w:rFonts w:hint="eastAsia" w:eastAsiaTheme="minorEastAsia"/>
          <w:color w:val="auto"/>
          <w:lang w:eastAsia="zh-CN"/>
        </w:rPr>
      </w:pPr>
      <w:r>
        <w:rPr>
          <w:rFonts w:hint="eastAsia"/>
          <w:color w:val="auto"/>
        </w:rPr>
        <w:t>保密义务：双方应对在合作过程中知悉的对方知识产权相关信息承担保密义务，未经对方书面同意，不得向任何第三方披露、使用或允许第三方使用，法律法规另有规定或经司法程序要求的除外。</w:t>
      </w:r>
    </w:p>
    <w:p w14:paraId="1564322F">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28396858">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项目评分参数</w:t>
      </w:r>
    </w:p>
    <w:tbl>
      <w:tblPr>
        <w:tblStyle w:val="7"/>
        <w:tblW w:w="9548" w:type="dxa"/>
        <w:tblInd w:w="-5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8"/>
        <w:gridCol w:w="1095"/>
        <w:gridCol w:w="6510"/>
        <w:gridCol w:w="765"/>
      </w:tblGrid>
      <w:tr w14:paraId="29C3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13D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类别</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D82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评审因素</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BE80">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评分标准说明（同一指标不得重复打分，代表实质性指标，不满足该指标项将导致投标被拒绝）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BB7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分值</w:t>
            </w:r>
          </w:p>
        </w:tc>
      </w:tr>
      <w:tr w14:paraId="621C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148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价格部分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08F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投标价格</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9CF7">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竞价人价格得分评分方法如下：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价格评审为客观计算得分。以竞价人报价总价（含税）作为评审的依据，竞价人价格得分评分方法如下：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1、达到技术合格进入价格评分环节的竞价人中，经修正后的有效评审价的最低的投标报价为评审基准价，其价格分为满分15分。其它投标人得价格分统一按照下列公式计算：</w:t>
            </w:r>
          </w:p>
          <w:p w14:paraId="46ED876B">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投标报价得分=（评标基准价/投标报价）×价格分满分分值。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BAA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15</w:t>
            </w:r>
          </w:p>
        </w:tc>
      </w:tr>
      <w:tr w14:paraId="1260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E77C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商务部分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F32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企业认证认可</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F28C">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投标人以下认证证书：</w:t>
            </w:r>
          </w:p>
          <w:p w14:paraId="20628E61">
            <w:pPr>
              <w:keepNext w:val="0"/>
              <w:keepLines w:val="0"/>
              <w:pageBreakBefore w:val="0"/>
              <w:widowControl/>
              <w:numPr>
                <w:ilvl w:val="0"/>
                <w:numId w:val="17"/>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基础管理体系认证（3分）：投标人具有经中国国家认证认可监督管理委员会认证机构颁发的有效的质量管理体系认证质量管理体系认证、IT服务管理体系认证、信息安全管理体系认证，每提供一项得1分，最高得3分，否则不得分；</w:t>
            </w:r>
          </w:p>
          <w:p w14:paraId="5A6845DD">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开发能力认证（3分）：具备软件开发能力，提供处于有效期内的软件成熟度模型认证CMMI证书或SPCA软件过程及能力成熟度评估认证证书扫描件，获得CMMI3级或软件能力成熟度模型等级1，得1分；获得CMMI4级或软件能力成熟度模型等级2，得2分；获得CMMI5级或软件能力成熟度模型等级3以上，得3分；</w:t>
            </w:r>
          </w:p>
          <w:p w14:paraId="0916A049">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备注：提供证明材料及网站查询截图。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494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6</w:t>
            </w:r>
          </w:p>
        </w:tc>
      </w:tr>
      <w:tr w14:paraId="2925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F561E">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i w:val="0"/>
                <w:iCs w:val="0"/>
                <w:color w:val="auto"/>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547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业绩要求</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39B2">
            <w:pPr>
              <w:keepNext w:val="0"/>
              <w:keepLines w:val="0"/>
              <w:pageBreakBefore w:val="0"/>
              <w:widowControl/>
              <w:numPr>
                <w:ilvl w:val="0"/>
                <w:numId w:val="18"/>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低代码平台产品业绩（4分）：2020年至今，投标人提供低代码平台产品部署实施的成功案例业绩证明，在2个项目的基础上，每提供1个项目案例业绩证明得2分，最高4分。</w:t>
            </w:r>
          </w:p>
          <w:p w14:paraId="0C104D60">
            <w:pPr>
              <w:keepNext w:val="0"/>
              <w:keepLines w:val="0"/>
              <w:pageBreakBefore w:val="0"/>
              <w:widowControl/>
              <w:numPr>
                <w:ilvl w:val="0"/>
                <w:numId w:val="18"/>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知识服务平台产品业绩（2分）：投标人提供AI知识服务产品部署实施的成功案例业绩证明，每提供1个项目案例业绩证明加 1 分，最高 2 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备注：提供业绩证明材料，包括：合同关键页扫描件（包括但不限于合同首页、采购内容页、合同金额页、合同大签页、签约时间）；提供部分或者全部发票，必要时须提供原件备查。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356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r>
      <w:tr w14:paraId="4CDD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50681">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i w:val="0"/>
                <w:iCs w:val="0"/>
                <w:color w:val="auto"/>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459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自主创新能力</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9209">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应答人如在组件开发、敏捷开发、低代码开发等具有一定成果，可提供处于有效期内的：</w:t>
            </w:r>
          </w:p>
          <w:p w14:paraId="0A08DFB4">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知识软件著作权：著作名称必须包含“低代码”或“开发平台”或“组件开发”或“业务编排”或“逻辑开发”或“逻辑编排”或“前端组件”或“多模型知识”或“多文档知识”或“大模型”或“知识库”或“智能体”等关键词，著作权人必须与应答人名称一致，证书扫描件和国家版权登记门户网站（http://www.ccopyright.com.cn）上的查验结果截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根据满足条件的软件著作权数量进行评分，每项提供1项得1分，本小项满分为4分。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注：未按要求提供相关证明材料（或证明材料内容不齐全或证明材料不清晰等）导致评委无法认定的或相关专利（或软件著作权）失效的，一律不予认可。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BE1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14:paraId="71464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030E2">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i w:val="0"/>
                <w:iCs w:val="0"/>
                <w:color w:val="auto"/>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1EC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项目负责人及团队资质要求</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0CEE">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为了更好的保障项目的实施，团队成员中所有人均需具有证书，具体人员证书要求如下：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1、项目负责人1名：具有项目管理专业人士或信息系统项目管理师或的，此项满分2分，不提供不得分；</w:t>
            </w:r>
          </w:p>
          <w:p w14:paraId="34091A1C">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2、团队技术成员：系统集成项目管理工程师（中级）或项目管理专业人士认证； 软件设计师/软件评测师/数据库系统工程师/高级用户体验设计师/智能化系统集成项目经理（高级）；每提供1类得1分，最高 2 分，不提供不得分。</w:t>
            </w:r>
          </w:p>
          <w:p w14:paraId="50904B74">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提供证书原件的扫描件以及近半年任意1个月的社保证明的扫描件。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E0C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14:paraId="771C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3287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技术部分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（58分）</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122F8FF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实现方案</w:t>
            </w:r>
          </w:p>
        </w:tc>
        <w:tc>
          <w:tcPr>
            <w:tcW w:w="6510" w:type="dxa"/>
            <w:tcBorders>
              <w:top w:val="single" w:color="000000" w:sz="4" w:space="0"/>
              <w:left w:val="nil"/>
              <w:bottom w:val="single" w:color="000000" w:sz="4" w:space="0"/>
              <w:right w:val="single" w:color="000000" w:sz="4" w:space="0"/>
            </w:tcBorders>
            <w:shd w:val="clear" w:color="auto" w:fill="auto"/>
            <w:vAlign w:val="center"/>
          </w:tcPr>
          <w:p w14:paraId="2B328926">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1、根据投标人提供的AI低代码一体化开发基座方案进行综合评审。整体方案的质量优劣从内容全面性、技术可行性和技术先进性三个方面进行评分（保留至整数位），此项满分6分：</w:t>
            </w:r>
          </w:p>
          <w:p w14:paraId="765D2EB0">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（1）方案完整、合理性强，贴合采购需求，技术领先，落地性强，得6分；</w:t>
            </w:r>
          </w:p>
          <w:p w14:paraId="230A171F">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（2）方案较完整、合理性较强，较为贴合采购需求，落地性较强，得4分；</w:t>
            </w:r>
          </w:p>
          <w:p w14:paraId="1E5BEE8F">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（3）方案内容简略、可行性不足，一般，得2分；</w:t>
            </w:r>
          </w:p>
          <w:p w14:paraId="2EBFF97D">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未提供方案不得分。</w:t>
            </w:r>
          </w:p>
          <w:p w14:paraId="7AB7559C">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2、根据投标人提供的AI知识服务平台方案进行综合评审。整体方案的质量优劣从内容全面性、技术可行性和技术先进性三个方面进行评分（保留至整数位），此项满分6分：</w:t>
            </w:r>
          </w:p>
          <w:p w14:paraId="0DD36A70">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（1）方案完整、合理性强，贴合采购需求，技术领先，落地性强，得6分；</w:t>
            </w:r>
          </w:p>
          <w:p w14:paraId="03E7713A">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（2）方案较完整、合理性较强，较为贴合采购需求，落地性较强，得4分；</w:t>
            </w:r>
          </w:p>
          <w:p w14:paraId="5F85A7A4">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（3）方案内容简略、可行性不足，一般，得2分；</w:t>
            </w:r>
          </w:p>
          <w:p w14:paraId="0B8AC9F7">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未提供方案不得分。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D58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w:t>
            </w:r>
          </w:p>
        </w:tc>
      </w:tr>
      <w:tr w14:paraId="5120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178" w:type="dxa"/>
            <w:vMerge w:val="continue"/>
            <w:tcBorders>
              <w:left w:val="single" w:color="000000" w:sz="4" w:space="0"/>
              <w:right w:val="single" w:color="000000" w:sz="4" w:space="0"/>
            </w:tcBorders>
            <w:shd w:val="clear" w:color="auto" w:fill="auto"/>
            <w:vAlign w:val="center"/>
          </w:tcPr>
          <w:p w14:paraId="683DA68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u w:val="none"/>
                <w:lang w:val="en-US" w:eastAsia="zh-CN" w:bidi="ar"/>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01661A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系统技术架构</w:t>
            </w:r>
          </w:p>
        </w:tc>
        <w:tc>
          <w:tcPr>
            <w:tcW w:w="6510" w:type="dxa"/>
            <w:tcBorders>
              <w:top w:val="single" w:color="000000" w:sz="4" w:space="0"/>
              <w:left w:val="nil"/>
              <w:bottom w:val="single" w:color="000000" w:sz="4" w:space="0"/>
              <w:right w:val="single" w:color="000000" w:sz="4" w:space="0"/>
            </w:tcBorders>
            <w:shd w:val="clear" w:color="auto" w:fill="auto"/>
            <w:vAlign w:val="center"/>
          </w:tcPr>
          <w:p w14:paraId="7FB7A26E">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1、架构设计（6分）：微服务架构、前后端分离、容器化部署（每项 1 分，最高 3 分）；支持多环境隔离（测试及生产环境一键同步，3 分）。</w:t>
            </w:r>
          </w:p>
          <w:p w14:paraId="37CA6C89">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2、信创适配（3分）：支持与银河麒麟、达梦数据库等新创数据库、系统、中间件的兼容，每类1分，最高3分。（需提供互认证明或承诺书）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A98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r>
      <w:tr w14:paraId="58F5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71D02">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i w:val="0"/>
                <w:iCs w:val="0"/>
                <w:color w:val="auto"/>
                <w:sz w:val="21"/>
                <w:szCs w:val="21"/>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0F92078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实施计划方案</w:t>
            </w:r>
          </w:p>
        </w:tc>
        <w:tc>
          <w:tcPr>
            <w:tcW w:w="6510" w:type="dxa"/>
            <w:tcBorders>
              <w:top w:val="single" w:color="000000" w:sz="4" w:space="0"/>
              <w:left w:val="nil"/>
              <w:bottom w:val="single" w:color="000000" w:sz="4" w:space="0"/>
              <w:right w:val="single" w:color="000000" w:sz="4" w:space="0"/>
            </w:tcBorders>
            <w:shd w:val="clear" w:color="auto" w:fill="auto"/>
            <w:vAlign w:val="center"/>
          </w:tcPr>
          <w:p w14:paraId="5CEC6532">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根据投标人提供的实施计划方案（包括但不限于实施计划组织安排、过程与进度保障、实施方法与内容等）进行评审：</w:t>
            </w:r>
          </w:p>
          <w:p w14:paraId="3720C8C3">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（1）方案完整、合理性强，组织安排合理，过程与进度保障科学，可执行性，得6分；</w:t>
            </w:r>
          </w:p>
          <w:p w14:paraId="2918C189">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（2）方案较完整、合理性较强，组织安排较合理，落地性较强，得4分；</w:t>
            </w:r>
          </w:p>
          <w:p w14:paraId="3BD0A29E">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（3）方案内容简略、可行性不足，一般，得2分；</w:t>
            </w:r>
          </w:p>
          <w:p w14:paraId="496AC4F6">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未提供方案不得分。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181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r>
      <w:tr w14:paraId="4485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C3CB6">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i w:val="0"/>
                <w:iCs w:val="0"/>
                <w:color w:val="auto"/>
                <w:sz w:val="21"/>
                <w:szCs w:val="21"/>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1095883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售后服务方案</w:t>
            </w:r>
          </w:p>
        </w:tc>
        <w:tc>
          <w:tcPr>
            <w:tcW w:w="6510" w:type="dxa"/>
            <w:tcBorders>
              <w:top w:val="single" w:color="000000" w:sz="4" w:space="0"/>
              <w:left w:val="nil"/>
              <w:bottom w:val="single" w:color="000000" w:sz="4" w:space="0"/>
              <w:right w:val="single" w:color="000000" w:sz="4" w:space="0"/>
            </w:tcBorders>
            <w:shd w:val="clear" w:color="auto" w:fill="auto"/>
            <w:vAlign w:val="center"/>
          </w:tcPr>
          <w:p w14:paraId="5FE3DABA">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根据投标人提供的售后服务方案（包括但不限于响应时效、售后内容、售后服务文档管理等）进行评审： </w:t>
            </w:r>
          </w:p>
          <w:p w14:paraId="3B97473E">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（1）方案完整、合理性强，响应时间合理，售后内容完善，可执行性，得6分；</w:t>
            </w:r>
          </w:p>
          <w:p w14:paraId="7D29DCFD">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（2）方案较完整、合理性较强，响应时间较合理，售后内容较强，得4分；</w:t>
            </w:r>
          </w:p>
          <w:p w14:paraId="5C85AEC2">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（3）方案内容简略、可行性不足，一般，得2分；</w:t>
            </w:r>
          </w:p>
          <w:p w14:paraId="7CD01F6B">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未提供方案不得分。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F25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6</w:t>
            </w:r>
          </w:p>
        </w:tc>
      </w:tr>
      <w:tr w14:paraId="18A8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081B4">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i w:val="0"/>
                <w:iCs w:val="0"/>
                <w:color w:val="auto"/>
                <w:sz w:val="21"/>
                <w:szCs w:val="21"/>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63477B9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原型功能截图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AI低代码一体化开发基座</w:t>
            </w:r>
            <w:r>
              <w:rPr>
                <w:rFonts w:hint="eastAsia" w:ascii="宋体" w:hAnsi="宋体" w:eastAsia="宋体" w:cs="宋体"/>
                <w:i w:val="0"/>
                <w:iCs w:val="0"/>
                <w:color w:val="auto"/>
                <w:kern w:val="0"/>
                <w:sz w:val="21"/>
                <w:szCs w:val="21"/>
                <w:u w:val="none"/>
                <w:lang w:val="en-US" w:eastAsia="zh-CN" w:bidi="ar"/>
              </w:rPr>
              <w:br w:type="textWrapping"/>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0A50">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应答人在组件开发功能、组件管理功能、组装式开发功能、应用二次开发和部署功能等四个方面提供功能截图，如满足如下要求，可相应得分：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1.组件开发功能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(1)功能点1：支持通过可视化窗口实现界面、服务、流程组件的拖拉拽配置，支持跨设备分辨率适配（PC/H5自适应）；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(2)功能点2：多端开发支持（web和H5页面的组件配置和开发），移动端H5组件自动生成，无需重复开发；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(3)功能点3：支持API/数据库/第三方服务对接，支持动态数据源切换（如生产/测试环境数据源隔离）；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(4)功能点4：支持组件全链路管理（自动纠错、日志查看能力、血缘关系图、版本比对）。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2.组件管理功能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(5)功能点5：提供组件生命周期管理能力，支持组件上架申请、审批、下架、归档等生命周期管理能力；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(6)功能点6：支持精细化授权（license按租户/用户组管理、使用许可管理）；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(7)功能点7：支持组件标准化封装；支持支持生成 Docker 镜像/国产化容器格式；</w:t>
            </w:r>
          </w:p>
          <w:p w14:paraId="33C87627">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(8)功能点8：支持组件分类检索（按成熟度/业务领域等分类，支持关键词搜索），支持组件标签自定义及多维度筛选；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3.组装式开发功能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(9)功能点9：支持应用与组件环境信息初始化设置，如数据库、缓存、消息队列等中间件配置，支持模板复用，支持一键导入环境配置模板；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(10)功能点10：支持统一鉴权门户（单点登录、角色权限同步第三方系统），支持与学校统一身份认证对接（如 CAS/OpenID）；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(11)功能点11：支持基础组件、通用组件、业务功能组件、智能化组件进行应用组装；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(12)功能点12：支持实时预览与调试（支持组件级 / 页面级实时效果预览）。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4.应用二次开发和部署功能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(13)功能点13：支持业务组件可导出源码进行二次开发，导出源码支持Java/Python等主流语言，兼容Git/SVN；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(14)功能点14：支持环境发布，支持预置多个发布环境（如测试、生产等），发布环境支持选择预置的测试、生产等环境；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(15)功能点15：发布方式支持增量发布和全量发布；增量发布支持选择所需的页面、服务、对象、流程等进行发布。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演示功能截图要求：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本项要求的各项业务演示的15个功能点截图需保留电脑完整屏幕（需显示屏上全部内容，包括但不限于：操作系统任务栏、系统时间等）,不允许只截取演示系统界面；建议高清分辨率（分辨率大于等于600*480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上述业务功能截图内容应与考核评分点内要求的功能点一致，如完全满足（具备功能点且可用）则该功能点得满分；如功能点演示有缺失，则该功能根据匹配度给予相应分数；每个功能点的满分均为1分，本项满分为15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B4A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15</w:t>
            </w:r>
          </w:p>
        </w:tc>
      </w:tr>
      <w:tr w14:paraId="54D68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721AA">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i w:val="0"/>
                <w:iCs w:val="0"/>
                <w:color w:val="auto"/>
                <w:sz w:val="21"/>
                <w:szCs w:val="21"/>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7FC275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原型功能截图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AI知识服务平台</w:t>
            </w:r>
            <w:r>
              <w:rPr>
                <w:rFonts w:hint="eastAsia" w:ascii="宋体" w:hAnsi="宋体" w:eastAsia="宋体" w:cs="宋体"/>
                <w:i w:val="0"/>
                <w:iCs w:val="0"/>
                <w:color w:val="auto"/>
                <w:kern w:val="0"/>
                <w:sz w:val="21"/>
                <w:szCs w:val="21"/>
                <w:u w:val="none"/>
                <w:lang w:val="en-US" w:eastAsia="zh-CN" w:bidi="ar"/>
              </w:rPr>
              <w:br w:type="textWrapping"/>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3880">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投标方在AI知识服务平台提供功能截图，如满足如下要求，可相应得分：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(1)默认与数据中台打通，支持通过web界面一键生成数据模型，并支持对模型信息进行管理及归类，支持模型版本管理，兼容国产化数据库（达梦/人大金仓）；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(2)数据信息库中支持从数仓中挑选任一或多个事实逻辑表或汇总表及其字段作为数据输入源，支持跨数据源关联查询；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(3)对于输入的数据源可通过拖拉数据处理组件进行可视化加工，组件可支持自定义配置，组件之间可通过连线自由组合并建立关联关系，数据处理组件至少包括：横向连接、分类汇总、数据筛选、数据排序、追加合并、字段设置、字典翻译、数据脱敏组件（如身份证号屏蔽中间字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(4)高级函数支持（流计算函数：时间窗口/事件窗口，支持自定义函数导入）；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(5)多格式输出（支持API/文件导出，自定义输出字段映射），支持输出结果实时校验，错误数据自动标记；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(6)动态图表交互（下钻分析、多图表联动筛选，支持移动端适配）；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(7)支持分级授权体系（字段级可见/编辑权限，操作日志全链路追踪），支持按角色/部门/用户组配置权限，审计日志导出 PDF；</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(8)支持AI 生成报表（输入自然语言需求，自动生成数据看板及分析结论）；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(9)支持数据刷新配置（支持定时/事件触发刷新，运行日志实时查看），刷新失败自动重试，日志支持关键词搜索；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(10)支持第三方系统对接（支持数据推送到BI工具/知识图谱，开放 API 接口文档），提供接口文档，支持 OAuth2.0 认证对接。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演示视频要求：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本项要求的各项业务演示的10个功能点功能截图需保留电脑完整屏幕（需显示屏上全部内容，包括但不限于：操作系统任务栏、系统时间等）,不允许只截取演示系统界面；建议功能截图为高清分辨率（分辨率大于等于600*480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2、上述业务功能截图内容应与考核评分点内要求的功能点一致，如完全满足（具备功能点且可用）则该功能点得满分；如功能点演示有缺失，则该功能点得0分；每个功能点的满分均为1分，本项满分为10分。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572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w:t>
            </w:r>
          </w:p>
        </w:tc>
      </w:tr>
      <w:tr w14:paraId="264C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7" w:hRule="atLeast"/>
        </w:trPr>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F4D8">
            <w:pPr>
              <w:keepNext w:val="0"/>
              <w:keepLines w:val="0"/>
              <w:pageBreakBefore w:val="0"/>
              <w:widowControl/>
              <w:kinsoku/>
              <w:wordWrap/>
              <w:overflowPunct/>
              <w:topLinePunct w:val="0"/>
              <w:autoSpaceDE/>
              <w:autoSpaceDN/>
              <w:bidi w:val="0"/>
              <w:adjustRightInd/>
              <w:snapToGrid/>
              <w:spacing w:line="288" w:lineRule="auto"/>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数据安全（7分）</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3603315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数据安全方案及等保测评</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2935">
            <w:pPr>
              <w:keepNext w:val="0"/>
              <w:keepLines w:val="0"/>
              <w:pageBreakBefore w:val="0"/>
              <w:widowControl/>
              <w:numPr>
                <w:ilvl w:val="0"/>
                <w:numId w:val="19"/>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根据投标人提供的数据安全方案进行综合评审。整体方案的质量优劣包括但不限于数据加密、字段级脱敏、操作日志审计三个方面进行评分（保留至整数位），此项满分6分：</w:t>
            </w:r>
          </w:p>
          <w:p w14:paraId="724BC2F8">
            <w:pPr>
              <w:keepNext w:val="0"/>
              <w:keepLines w:val="0"/>
              <w:pageBreakBefore w:val="0"/>
              <w:widowControl/>
              <w:numPr>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（1）方案完整、合理性强，安全保障性强，技术领先，得6分；</w:t>
            </w:r>
          </w:p>
          <w:p w14:paraId="41D117F9">
            <w:pPr>
              <w:keepNext w:val="0"/>
              <w:keepLines w:val="0"/>
              <w:pageBreakBefore w:val="0"/>
              <w:widowControl/>
              <w:numPr>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（2）方案较完整、合理性较强，安全保障性较强，得4分；</w:t>
            </w:r>
          </w:p>
          <w:p w14:paraId="02D3FD3D">
            <w:pPr>
              <w:keepNext w:val="0"/>
              <w:keepLines w:val="0"/>
              <w:pageBreakBefore w:val="0"/>
              <w:widowControl/>
              <w:numPr>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（3）方案内容简略、合理性一般，安全保障性一般，得2分；</w:t>
            </w:r>
          </w:p>
          <w:p w14:paraId="0AE6EEE6">
            <w:pPr>
              <w:keepNext w:val="0"/>
              <w:keepLines w:val="0"/>
              <w:pageBreakBefore w:val="0"/>
              <w:widowControl/>
              <w:numPr>
                <w:numId w:val="0"/>
              </w:numPr>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未提供方案不得分。</w:t>
            </w:r>
          </w:p>
          <w:p w14:paraId="0182E670">
            <w:pPr>
              <w:keepNext w:val="0"/>
              <w:keepLines w:val="0"/>
              <w:pageBreakBefore w:val="0"/>
              <w:widowControl/>
              <w:numPr>
                <w:ilvl w:val="0"/>
                <w:numId w:val="19"/>
              </w:numPr>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等保认证：提供近 2 年同类软件项目的《信息系统安全等级保护备案证明》（二级及以上），得0.5分；承诺中标后协助完成本项目定级备案（附承诺书），得0.5分。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198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r>
    </w:tbl>
    <w:p w14:paraId="75E3440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1"/>
          <w:szCs w:val="21"/>
        </w:rPr>
      </w:pPr>
    </w:p>
    <w:p w14:paraId="0420377F">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3F8B112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1"/>
          <w:szCs w:val="21"/>
        </w:rPr>
      </w:pPr>
    </w:p>
    <w:p w14:paraId="28410102">
      <w:pPr>
        <w:pStyle w:val="2"/>
        <w:pageBreakBefore w:val="0"/>
        <w:numPr>
          <w:ilvl w:val="0"/>
          <w:numId w:val="1"/>
        </w:numPr>
        <w:tabs>
          <w:tab w:val="clear" w:pos="426"/>
        </w:tabs>
        <w:kinsoku/>
        <w:wordWrap/>
        <w:overflowPunct/>
        <w:topLinePunct w:val="0"/>
        <w:autoSpaceDE/>
        <w:autoSpaceDN/>
        <w:bidi w:val="0"/>
        <w:adjustRightInd w:val="0"/>
        <w:snapToGrid w:val="0"/>
        <w:spacing w:before="0" w:beforeAutospacing="0" w:after="0" w:afterAutospacing="0" w:line="360" w:lineRule="auto"/>
        <w:ind w:left="432" w:leftChars="0" w:hanging="432" w:firstLineChars="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附录与功能清单</w:t>
      </w:r>
    </w:p>
    <w:p w14:paraId="77F0DF42">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color w:val="auto"/>
        </w:rPr>
      </w:pPr>
      <w:r>
        <w:rPr>
          <w:rFonts w:hint="eastAsia" w:ascii="宋体" w:hAnsi="宋体" w:eastAsia="宋体" w:cs="宋体"/>
          <w:color w:val="auto"/>
          <w:sz w:val="21"/>
          <w:szCs w:val="21"/>
          <w:lang w:val="en-US" w:eastAsia="zh-CN"/>
        </w:rPr>
        <w:t>低代码一体化开发基座功能清单</w:t>
      </w:r>
    </w:p>
    <w:tbl>
      <w:tblPr>
        <w:tblStyle w:val="7"/>
        <w:tblW w:w="8157"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693"/>
        <w:gridCol w:w="2162"/>
        <w:gridCol w:w="4548"/>
      </w:tblGrid>
      <w:tr w14:paraId="7E08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54" w:type="dxa"/>
            <w:tcBorders>
              <w:top w:val="single" w:color="000000" w:sz="4" w:space="0"/>
              <w:left w:val="single" w:color="000000" w:sz="4" w:space="0"/>
              <w:bottom w:val="nil"/>
              <w:right w:val="single" w:color="000000" w:sz="4" w:space="0"/>
            </w:tcBorders>
            <w:shd w:val="clear" w:color="auto" w:fill="auto"/>
            <w:vAlign w:val="center"/>
          </w:tcPr>
          <w:p w14:paraId="6DB168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一级模块</w:t>
            </w:r>
          </w:p>
        </w:tc>
        <w:tc>
          <w:tcPr>
            <w:tcW w:w="693" w:type="dxa"/>
            <w:tcBorders>
              <w:top w:val="single" w:color="000000" w:sz="4" w:space="0"/>
              <w:left w:val="single" w:color="000000" w:sz="4" w:space="0"/>
              <w:bottom w:val="nil"/>
              <w:right w:val="single" w:color="000000" w:sz="4" w:space="0"/>
            </w:tcBorders>
            <w:shd w:val="clear" w:color="auto" w:fill="auto"/>
            <w:vAlign w:val="center"/>
          </w:tcPr>
          <w:p w14:paraId="23218D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二级模块</w:t>
            </w:r>
          </w:p>
        </w:tc>
        <w:tc>
          <w:tcPr>
            <w:tcW w:w="2162" w:type="dxa"/>
            <w:tcBorders>
              <w:top w:val="single" w:color="000000" w:sz="4" w:space="0"/>
              <w:left w:val="single" w:color="000000" w:sz="4" w:space="0"/>
              <w:bottom w:val="nil"/>
              <w:right w:val="single" w:color="000000" w:sz="4" w:space="0"/>
            </w:tcBorders>
            <w:shd w:val="clear" w:color="auto" w:fill="auto"/>
            <w:vAlign w:val="center"/>
          </w:tcPr>
          <w:p w14:paraId="6FFB7A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三级模块</w:t>
            </w:r>
          </w:p>
        </w:tc>
        <w:tc>
          <w:tcPr>
            <w:tcW w:w="4548" w:type="dxa"/>
            <w:tcBorders>
              <w:top w:val="single" w:color="000000" w:sz="4" w:space="0"/>
              <w:left w:val="single" w:color="000000" w:sz="4" w:space="0"/>
              <w:bottom w:val="nil"/>
              <w:right w:val="single" w:color="000000" w:sz="4" w:space="0"/>
            </w:tcBorders>
            <w:shd w:val="clear" w:color="auto" w:fill="auto"/>
            <w:vAlign w:val="center"/>
          </w:tcPr>
          <w:p w14:paraId="19AA44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功能性描述</w:t>
            </w:r>
          </w:p>
        </w:tc>
      </w:tr>
      <w:tr w14:paraId="2F8C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4" w:type="dxa"/>
            <w:vMerge w:val="restart"/>
            <w:tcBorders>
              <w:top w:val="nil"/>
              <w:left w:val="single" w:color="000000" w:sz="4" w:space="0"/>
              <w:right w:val="single" w:color="000000" w:sz="4" w:space="0"/>
            </w:tcBorders>
            <w:shd w:val="clear" w:color="auto" w:fill="auto"/>
            <w:vAlign w:val="center"/>
          </w:tcPr>
          <w:p w14:paraId="082571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AI低代码一体化开发平台</w:t>
            </w:r>
          </w:p>
        </w:tc>
        <w:tc>
          <w:tcPr>
            <w:tcW w:w="693" w:type="dxa"/>
            <w:vMerge w:val="restart"/>
            <w:tcBorders>
              <w:top w:val="nil"/>
              <w:left w:val="single" w:color="000000" w:sz="4" w:space="0"/>
              <w:bottom w:val="single" w:color="000000" w:sz="4" w:space="0"/>
              <w:right w:val="single" w:color="000000" w:sz="4" w:space="0"/>
            </w:tcBorders>
            <w:shd w:val="clear" w:color="auto" w:fill="auto"/>
            <w:vAlign w:val="center"/>
          </w:tcPr>
          <w:p w14:paraId="348894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本地化部署</w:t>
            </w:r>
          </w:p>
        </w:tc>
        <w:tc>
          <w:tcPr>
            <w:tcW w:w="2162" w:type="dxa"/>
            <w:tcBorders>
              <w:top w:val="nil"/>
              <w:left w:val="single" w:color="000000" w:sz="4" w:space="0"/>
              <w:bottom w:val="single" w:color="000000" w:sz="4" w:space="0"/>
              <w:right w:val="single" w:color="000000" w:sz="4" w:space="0"/>
            </w:tcBorders>
            <w:shd w:val="clear" w:color="auto" w:fill="auto"/>
            <w:vAlign w:val="center"/>
          </w:tcPr>
          <w:p w14:paraId="3929B4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部署环境适配</w:t>
            </w:r>
          </w:p>
        </w:tc>
        <w:tc>
          <w:tcPr>
            <w:tcW w:w="4548" w:type="dxa"/>
            <w:tcBorders>
              <w:top w:val="nil"/>
              <w:left w:val="single" w:color="000000" w:sz="4" w:space="0"/>
              <w:bottom w:val="single" w:color="000000" w:sz="4" w:space="0"/>
              <w:right w:val="single" w:color="000000" w:sz="4" w:space="0"/>
            </w:tcBorders>
            <w:shd w:val="clear" w:color="auto" w:fill="auto"/>
            <w:vAlign w:val="center"/>
          </w:tcPr>
          <w:p w14:paraId="6E3134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1.操作系统：</w:t>
            </w:r>
          </w:p>
          <w:p w14:paraId="2F3393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 Windows、Unix、Linux（如 Ubuntu 22.04、中标麒麟、统信 UOS）等主流及国产操作系统的较新版本。</w:t>
            </w:r>
          </w:p>
          <w:p w14:paraId="38407D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支持跨平台部署，兼容 x86、ARM（鲲鹏/龙芯）等硬件架构。</w:t>
            </w:r>
          </w:p>
          <w:p w14:paraId="5BB639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2.数据库支持：</w:t>
            </w:r>
          </w:p>
          <w:p w14:paraId="377F1F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兼容 Mysql、Oracle、SQL Server 等主流关系型数据库，支持人大金仓、达梦等国产数据库。</w:t>
            </w:r>
          </w:p>
          <w:p w14:paraId="4C9C081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支持数据库表结构自动生成与同步，适配不同数据库方言。</w:t>
            </w:r>
          </w:p>
          <w:p w14:paraId="485612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3.技术架构：</w:t>
            </w:r>
          </w:p>
          <w:p w14:paraId="72A5E1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采用微服务架构，支持前后端分离、容器化部署（Docker/Kubernetes）及弹性资源分配。</w:t>
            </w:r>
          </w:p>
        </w:tc>
      </w:tr>
      <w:tr w14:paraId="4D0A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4" w:type="dxa"/>
            <w:vMerge w:val="continue"/>
            <w:tcBorders>
              <w:left w:val="single" w:color="000000" w:sz="4" w:space="0"/>
              <w:right w:val="single" w:color="000000" w:sz="4" w:space="0"/>
            </w:tcBorders>
            <w:shd w:val="clear" w:color="auto" w:fill="auto"/>
            <w:vAlign w:val="center"/>
          </w:tcPr>
          <w:p w14:paraId="68545653">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continue"/>
            <w:tcBorders>
              <w:top w:val="nil"/>
              <w:left w:val="single" w:color="000000" w:sz="4" w:space="0"/>
              <w:bottom w:val="single" w:color="000000" w:sz="4" w:space="0"/>
              <w:right w:val="single" w:color="000000" w:sz="4" w:space="0"/>
            </w:tcBorders>
            <w:shd w:val="clear" w:color="auto" w:fill="auto"/>
            <w:vAlign w:val="center"/>
          </w:tcPr>
          <w:p w14:paraId="190A66FB">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3E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多环境管理能力</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B3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1.环境配置：</w:t>
            </w:r>
          </w:p>
          <w:p w14:paraId="681F50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支持开发、测试、生产等多环境独立配置，可自定义环境参数（如数据源、接口地址）。</w:t>
            </w:r>
          </w:p>
          <w:p w14:paraId="5C408C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提供环境实例的新增、修改、删除及状态监控（如运行 / 停用）。</w:t>
            </w:r>
          </w:p>
          <w:p w14:paraId="5DDDF7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2.应用迁移：</w:t>
            </w:r>
          </w:p>
          <w:p w14:paraId="36A50A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支持应用在不同环境间的全量 / 增量迁移，保留表单、流程、权限等配置。</w:t>
            </w:r>
          </w:p>
          <w:p w14:paraId="575C75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提供初始化脚本下载与执行，简化环境部署流程。</w:t>
            </w:r>
          </w:p>
          <w:p w14:paraId="1442B8A5">
            <w:pPr>
              <w:keepNext w:val="0"/>
              <w:keepLines w:val="0"/>
              <w:pageBreakBefore w:val="0"/>
              <w:widowControl/>
              <w:numPr>
                <w:ilvl w:val="0"/>
                <w:numId w:val="20"/>
              </w:numPr>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多租户资源隔离</w:t>
            </w:r>
          </w:p>
          <w:p w14:paraId="7BE52F8A">
            <w:pPr>
              <w:keepNext w:val="0"/>
              <w:keepLines w:val="0"/>
              <w:pageBreakBefore w:val="0"/>
              <w:widowControl/>
              <w:numPr>
                <w:ilvl w:val="0"/>
                <w:numId w:val="0"/>
              </w:numPr>
              <w:suppressLineNumbers w:val="0"/>
              <w:kinsoku/>
              <w:wordWrap/>
              <w:overflowPunct/>
              <w:topLinePunct w:val="0"/>
              <w:autoSpaceDE/>
              <w:autoSpaceDN/>
              <w:bidi w:val="0"/>
              <w:adjustRightInd w:val="0"/>
              <w:snapToGrid w:val="0"/>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 xml:space="preserve">数据库隔离：不同租户数据存储在独立数据库或Schema中，支持 PostgreSQL/MySQL 等主流数据库的租户级权限控制；  </w:t>
            </w:r>
          </w:p>
          <w:p w14:paraId="6DB23D29">
            <w:pPr>
              <w:keepNext w:val="0"/>
              <w:keepLines w:val="0"/>
              <w:pageBreakBefore w:val="0"/>
              <w:widowControl/>
              <w:numPr>
                <w:ilvl w:val="0"/>
                <w:numId w:val="0"/>
              </w:numPr>
              <w:suppressLineNumbers w:val="0"/>
              <w:kinsoku/>
              <w:wordWrap/>
              <w:overflowPunct/>
              <w:topLinePunct w:val="0"/>
              <w:autoSpaceDE/>
              <w:autoSpaceDN/>
              <w:bidi w:val="0"/>
              <w:adjustRightInd w:val="0"/>
              <w:snapToGrid w:val="0"/>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 xml:space="preserve">文件存储隔离：租户上传的附件、模板等文件存储在独立目录，支持 AWS S3/MinIO 等对象存储的租户空间划分；  </w:t>
            </w:r>
          </w:p>
          <w:p w14:paraId="7F46847E">
            <w:pPr>
              <w:keepNext w:val="0"/>
              <w:keepLines w:val="0"/>
              <w:pageBreakBefore w:val="0"/>
              <w:widowControl/>
              <w:numPr>
                <w:ilvl w:val="0"/>
                <w:numId w:val="0"/>
              </w:numPr>
              <w:suppressLineNumbers w:val="0"/>
              <w:kinsoku/>
              <w:wordWrap/>
              <w:overflowPunct/>
              <w:topLinePunct w:val="0"/>
              <w:autoSpaceDE/>
              <w:autoSpaceDN/>
              <w:bidi w:val="0"/>
              <w:adjustRightInd w:val="0"/>
              <w:snapToGrid w:val="0"/>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 xml:space="preserve">操作日志隔离：各租户仅能查看本租户的操作日志（如用户登录、表单提交、流程审批记录）。  </w:t>
            </w:r>
          </w:p>
        </w:tc>
      </w:tr>
      <w:tr w14:paraId="709E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54" w:type="dxa"/>
            <w:vMerge w:val="continue"/>
            <w:tcBorders>
              <w:left w:val="single" w:color="000000" w:sz="4" w:space="0"/>
              <w:right w:val="single" w:color="000000" w:sz="4" w:space="0"/>
            </w:tcBorders>
            <w:shd w:val="clear" w:color="auto" w:fill="auto"/>
            <w:vAlign w:val="center"/>
          </w:tcPr>
          <w:p w14:paraId="75AEE085">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continue"/>
            <w:tcBorders>
              <w:top w:val="nil"/>
              <w:left w:val="single" w:color="000000" w:sz="4" w:space="0"/>
              <w:bottom w:val="single" w:color="000000" w:sz="4" w:space="0"/>
              <w:right w:val="single" w:color="000000" w:sz="4" w:space="0"/>
            </w:tcBorders>
            <w:shd w:val="clear" w:color="auto" w:fill="auto"/>
            <w:vAlign w:val="center"/>
          </w:tcPr>
          <w:p w14:paraId="4BADB0B5">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BA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国产化与信创适配</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A3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国产化适配认证：</w:t>
            </w:r>
          </w:p>
          <w:p w14:paraId="525F521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提供与国产化操作系统、数据库、中间件的适配报告，满足信创工程要求</w:t>
            </w:r>
          </w:p>
        </w:tc>
      </w:tr>
      <w:tr w14:paraId="44BB5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54" w:type="dxa"/>
            <w:vMerge w:val="continue"/>
            <w:tcBorders>
              <w:left w:val="single" w:color="000000" w:sz="4" w:space="0"/>
              <w:right w:val="single" w:color="000000" w:sz="4" w:space="0"/>
            </w:tcBorders>
            <w:shd w:val="clear" w:color="auto" w:fill="auto"/>
            <w:vAlign w:val="center"/>
          </w:tcPr>
          <w:p w14:paraId="57BEE7B7">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FF6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数据设计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8E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元数据建模能力</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EF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1.业务对象定义：</w:t>
            </w:r>
          </w:p>
          <w:p w14:paraId="15297B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支持自定义数据对象，配置文本、数字、时间、附件、对象关联等属性字段。</w:t>
            </w:r>
          </w:p>
          <w:p w14:paraId="26B0CF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内置国标代码库（如行政区划、人员类别），支持自定义业务代码（编码、名称、颜色、图标）。</w:t>
            </w:r>
          </w:p>
          <w:p w14:paraId="5BFE1E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2.数据结构管理：</w:t>
            </w:r>
          </w:p>
          <w:p w14:paraId="660BCD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定义对象间关联关系（一对一、一对多、级联删除）及属性依赖（选项联动、值依赖）。</w:t>
            </w:r>
          </w:p>
          <w:p w14:paraId="3E231E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支持实体对象继承与扩展，子对象自动继承父对象属性。</w:t>
            </w:r>
          </w:p>
        </w:tc>
      </w:tr>
      <w:tr w14:paraId="1E05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54" w:type="dxa"/>
            <w:vMerge w:val="continue"/>
            <w:tcBorders>
              <w:left w:val="single" w:color="000000" w:sz="4" w:space="0"/>
              <w:right w:val="single" w:color="000000" w:sz="4" w:space="0"/>
            </w:tcBorders>
            <w:shd w:val="clear" w:color="auto" w:fill="auto"/>
            <w:vAlign w:val="center"/>
          </w:tcPr>
          <w:p w14:paraId="35B5F23D">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813C">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D5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数据校验与视图</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B0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1.校验规则配置</w:t>
            </w:r>
          </w:p>
          <w:p w14:paraId="72F34B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设置数据校验条件（公式 / 查询条件）、错误提示，支持必填、格式匹配（如手机号、邮箱）。</w:t>
            </w:r>
          </w:p>
          <w:p w14:paraId="503773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2.数据视图管理</w:t>
            </w:r>
          </w:p>
          <w:p w14:paraId="2B3EE1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创建多数据视图，配置字段显示范围、排序规则、关联对象，用于列表查询、统计分析。</w:t>
            </w:r>
          </w:p>
          <w:p w14:paraId="061275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支持视图权限控制，不同角色可见不同数据范围。</w:t>
            </w:r>
          </w:p>
        </w:tc>
      </w:tr>
      <w:tr w14:paraId="607A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54" w:type="dxa"/>
            <w:vMerge w:val="continue"/>
            <w:tcBorders>
              <w:left w:val="single" w:color="000000" w:sz="4" w:space="0"/>
              <w:right w:val="single" w:color="000000" w:sz="4" w:space="0"/>
            </w:tcBorders>
            <w:shd w:val="clear" w:color="auto" w:fill="auto"/>
            <w:vAlign w:val="center"/>
          </w:tcPr>
          <w:p w14:paraId="2891D5BF">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60079">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8D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操作模型与存储</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7F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模型生命周期：</w:t>
            </w:r>
          </w:p>
          <w:p w14:paraId="5C7066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支持模型的新建（手动 / Excel 导入 / 外部数据源）、复制、修改、删除及版本管理。</w:t>
            </w:r>
          </w:p>
          <w:p w14:paraId="0C1630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导出模型对象为标准格式（如 JSON），支持跨应用复用。</w:t>
            </w:r>
          </w:p>
        </w:tc>
      </w:tr>
      <w:tr w14:paraId="48AC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4" w:type="dxa"/>
            <w:vMerge w:val="continue"/>
            <w:tcBorders>
              <w:left w:val="single" w:color="000000" w:sz="4" w:space="0"/>
              <w:right w:val="single" w:color="000000" w:sz="4" w:space="0"/>
            </w:tcBorders>
            <w:shd w:val="clear" w:color="auto" w:fill="auto"/>
            <w:vAlign w:val="center"/>
          </w:tcPr>
          <w:p w14:paraId="2B50A111">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restart"/>
            <w:tcBorders>
              <w:top w:val="single" w:color="000000" w:sz="4" w:space="0"/>
              <w:left w:val="single" w:color="000000" w:sz="4" w:space="0"/>
              <w:bottom w:val="nil"/>
              <w:right w:val="single" w:color="000000" w:sz="4" w:space="0"/>
            </w:tcBorders>
            <w:shd w:val="clear" w:color="auto" w:fill="auto"/>
            <w:vAlign w:val="center"/>
          </w:tcPr>
          <w:p w14:paraId="51F373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页面设计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74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可视化表单搭建</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7D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1.设计模式：</w:t>
            </w:r>
          </w:p>
          <w:p w14:paraId="6A7674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提供空白创建、Excel 导入、模板复用三种表单设计方式，支持 Word/Excel 模式的打印模板设计。</w:t>
            </w:r>
          </w:p>
          <w:p w14:paraId="4283A8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拖拽式组件布局，包含基础组件（单行文本、下拉框）、高级组件（定位、电子签名）、关联组件（树选择、API 查询）。</w:t>
            </w:r>
          </w:p>
          <w:p w14:paraId="17572E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2.样式与交互：</w:t>
            </w:r>
          </w:p>
          <w:p w14:paraId="39C252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配置页面背景、布局（栅格 / 流式）、边框样式，支持 CSS 脚本自定义。</w:t>
            </w:r>
          </w:p>
          <w:p w14:paraId="423295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绑定表单事件（提交触发流程、自定义按钮调用服务），支持条件跳转。</w:t>
            </w:r>
          </w:p>
        </w:tc>
      </w:tr>
      <w:tr w14:paraId="4D60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4" w:type="dxa"/>
            <w:vMerge w:val="continue"/>
            <w:tcBorders>
              <w:left w:val="single" w:color="000000" w:sz="4" w:space="0"/>
              <w:right w:val="single" w:color="000000" w:sz="4" w:space="0"/>
            </w:tcBorders>
            <w:shd w:val="clear" w:color="auto" w:fill="auto"/>
            <w:vAlign w:val="center"/>
          </w:tcPr>
          <w:p w14:paraId="6953AB5C">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continue"/>
            <w:tcBorders>
              <w:top w:val="single" w:color="000000" w:sz="4" w:space="0"/>
              <w:left w:val="single" w:color="000000" w:sz="4" w:space="0"/>
              <w:bottom w:val="nil"/>
              <w:right w:val="single" w:color="000000" w:sz="4" w:space="0"/>
            </w:tcBorders>
            <w:shd w:val="clear" w:color="auto" w:fill="auto"/>
            <w:vAlign w:val="center"/>
          </w:tcPr>
          <w:p w14:paraId="03F71BC3">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18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权限与多端适配</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38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1.权限控制：</w:t>
            </w:r>
          </w:p>
          <w:p w14:paraId="0B5F59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按成员、部门、角色分配表单查看 / 编辑权限，支持字段级权限（隐藏 / 只读 / 必填）。</w:t>
            </w:r>
          </w:p>
          <w:p w14:paraId="170C88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2.多端兼容：</w:t>
            </w:r>
          </w:p>
          <w:p w14:paraId="23DC2E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自动生成响应式 H5 页面，适配手机（iOS/Android）、平板、PC 端主流屏幕分辨率。</w:t>
            </w:r>
          </w:p>
          <w:p w14:paraId="10174B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支持移动端专属组件（拍照上传、二维码扫描、定位）。</w:t>
            </w:r>
          </w:p>
        </w:tc>
      </w:tr>
      <w:tr w14:paraId="780C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54" w:type="dxa"/>
            <w:vMerge w:val="continue"/>
            <w:tcBorders>
              <w:left w:val="single" w:color="000000" w:sz="4" w:space="0"/>
              <w:right w:val="single" w:color="000000" w:sz="4" w:space="0"/>
            </w:tcBorders>
            <w:shd w:val="clear" w:color="auto" w:fill="auto"/>
            <w:vAlign w:val="center"/>
          </w:tcPr>
          <w:p w14:paraId="745DD13B">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7B1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逻辑设计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AE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可视化逻辑编排</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9E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1.节点与流程：</w:t>
            </w:r>
          </w:p>
          <w:p w14:paraId="5026B0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支持大模型访问、数据增删改查、消息发送、流程审批等逻辑节点，通过拖拽连接形成数据流。</w:t>
            </w:r>
          </w:p>
          <w:p w14:paraId="362E8E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接入外部 API、本地知识库、定时器，支持条件分支、循环、异常处理。</w:t>
            </w:r>
          </w:p>
          <w:p w14:paraId="7DC8F1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2.脚本与函数：</w:t>
            </w:r>
          </w:p>
          <w:p w14:paraId="216636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内置常用函数库（SUM、AVERAGE、文本拼接），支持自定义Python等脚本节点。</w:t>
            </w:r>
          </w:p>
          <w:p w14:paraId="622CF1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提供函数调试工具，实时验证逻辑正确性。</w:t>
            </w:r>
          </w:p>
        </w:tc>
      </w:tr>
      <w:tr w14:paraId="6D97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4" w:type="dxa"/>
            <w:vMerge w:val="continue"/>
            <w:tcBorders>
              <w:left w:val="single" w:color="000000" w:sz="4" w:space="0"/>
              <w:right w:val="single" w:color="000000" w:sz="4" w:space="0"/>
            </w:tcBorders>
            <w:shd w:val="clear" w:color="auto" w:fill="auto"/>
            <w:vAlign w:val="center"/>
          </w:tcPr>
          <w:p w14:paraId="5058143C">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8E7C1">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2D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数据处理能力</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CE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1.数据同步：</w:t>
            </w:r>
          </w:p>
          <w:p w14:paraId="16C61C8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配置实时同步（数据变更触发）与定期同步（定时器触发）方案，支持覆盖、追加、更新模式。</w:t>
            </w:r>
          </w:p>
          <w:p w14:paraId="6F4918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定义字段映射规则（直接匹配、转换函数、自定义规则），支持跨对象数据清洗。</w:t>
            </w:r>
          </w:p>
          <w:p w14:paraId="14F3D1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2.接口集成：</w:t>
            </w:r>
          </w:p>
          <w:p w14:paraId="6B80B51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对接外部系统（如 ERP、数据中台），通过API、数据视图等方式实现数据双向交互。</w:t>
            </w:r>
          </w:p>
        </w:tc>
      </w:tr>
      <w:tr w14:paraId="4E0E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4" w:type="dxa"/>
            <w:vMerge w:val="continue"/>
            <w:tcBorders>
              <w:left w:val="single" w:color="000000" w:sz="4" w:space="0"/>
              <w:right w:val="single" w:color="000000" w:sz="4" w:space="0"/>
            </w:tcBorders>
            <w:shd w:val="clear" w:color="auto" w:fill="auto"/>
            <w:vAlign w:val="center"/>
          </w:tcPr>
          <w:p w14:paraId="1B756B86">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restart"/>
            <w:tcBorders>
              <w:top w:val="single" w:color="000000" w:sz="4" w:space="0"/>
              <w:left w:val="single" w:color="000000" w:sz="4" w:space="0"/>
              <w:right w:val="single" w:color="000000" w:sz="4" w:space="0"/>
            </w:tcBorders>
            <w:shd w:val="clear" w:color="auto" w:fill="auto"/>
            <w:vAlign w:val="center"/>
          </w:tcPr>
          <w:p w14:paraId="563560E8">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流程设计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82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流程建模规范</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C9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1.设计标准：</w:t>
            </w:r>
          </w:p>
          <w:p w14:paraId="3C5F24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遵循 BPMN 2.0 规范，支持可视化设计流程节点（开始 / 结束环节、人工 / 自动节点、逻辑网关）。</w:t>
            </w:r>
          </w:p>
          <w:p w14:paraId="724CBF2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配置节点审批人（指定用户 / 部门 / 岗位）、审批方式（或签 / 会签 / 顺签）及加签、转签规则。</w:t>
            </w:r>
          </w:p>
          <w:p w14:paraId="1AE6D3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2.分支与规则：</w:t>
            </w:r>
          </w:p>
          <w:p w14:paraId="29A2C2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支持并行 / 条件分支，设置分支条件表达式（如金额 &gt; 1000 转上级审批）。</w:t>
            </w:r>
          </w:p>
        </w:tc>
      </w:tr>
      <w:tr w14:paraId="172D0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4" w:type="dxa"/>
            <w:vMerge w:val="continue"/>
            <w:tcBorders>
              <w:left w:val="single" w:color="000000" w:sz="4" w:space="0"/>
              <w:right w:val="single" w:color="000000" w:sz="4" w:space="0"/>
            </w:tcBorders>
            <w:shd w:val="clear" w:color="auto" w:fill="auto"/>
            <w:vAlign w:val="center"/>
          </w:tcPr>
          <w:p w14:paraId="0FA83CBA">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continue"/>
            <w:tcBorders>
              <w:left w:val="single" w:color="000000" w:sz="4" w:space="0"/>
              <w:right w:val="single" w:color="000000" w:sz="4" w:space="0"/>
            </w:tcBorders>
            <w:shd w:val="clear" w:color="auto" w:fill="auto"/>
            <w:vAlign w:val="center"/>
          </w:tcPr>
          <w:p w14:paraId="2C0F189F">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B3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流程管理与监控</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C4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1.版本与实例：</w:t>
            </w:r>
          </w:p>
          <w:p w14:paraId="59D2631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管理流程版本，支持发布、更新、回滚，记录版本变更日志。</w:t>
            </w:r>
          </w:p>
          <w:p w14:paraId="7838A59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监控流程实例状态（进行中 / 已办结），支持手动干预（转办、终止、催办）。</w:t>
            </w:r>
          </w:p>
          <w:p w14:paraId="3B1048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2.通知与日志：</w:t>
            </w:r>
          </w:p>
          <w:p w14:paraId="20D049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配置节点消息提醒（邮件 / 短信 / 站内信），支持自定义消息模板。</w:t>
            </w:r>
          </w:p>
          <w:p w14:paraId="4C210C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记录流程操作日志（发起时间、审批人、操作记录），支持日志查询与导出。</w:t>
            </w:r>
          </w:p>
        </w:tc>
      </w:tr>
      <w:tr w14:paraId="65A8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4" w:type="dxa"/>
            <w:vMerge w:val="continue"/>
            <w:tcBorders>
              <w:left w:val="single" w:color="000000" w:sz="4" w:space="0"/>
              <w:right w:val="single" w:color="000000" w:sz="4" w:space="0"/>
            </w:tcBorders>
            <w:shd w:val="clear" w:color="auto" w:fill="auto"/>
            <w:vAlign w:val="center"/>
          </w:tcPr>
          <w:p w14:paraId="123460B4">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continue"/>
            <w:tcBorders>
              <w:left w:val="single" w:color="000000" w:sz="4" w:space="0"/>
              <w:bottom w:val="single" w:color="000000" w:sz="4" w:space="0"/>
              <w:right w:val="single" w:color="000000" w:sz="4" w:space="0"/>
            </w:tcBorders>
            <w:shd w:val="clear" w:color="auto" w:fill="auto"/>
            <w:vAlign w:val="center"/>
          </w:tcPr>
          <w:p w14:paraId="7CAC7B8E">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32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表单与流程绑定</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1E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业务联动：</w:t>
            </w:r>
          </w:p>
          <w:p w14:paraId="64B0AF9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将表单字段与流程节点参数绑定，提交表单自动触发流程实例。</w:t>
            </w:r>
          </w:p>
        </w:tc>
      </w:tr>
      <w:tr w14:paraId="5499A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4" w:type="dxa"/>
            <w:vMerge w:val="continue"/>
            <w:tcBorders>
              <w:left w:val="single" w:color="000000" w:sz="4" w:space="0"/>
              <w:right w:val="single" w:color="000000" w:sz="4" w:space="0"/>
            </w:tcBorders>
            <w:shd w:val="clear" w:color="auto" w:fill="auto"/>
            <w:vAlign w:val="center"/>
          </w:tcPr>
          <w:p w14:paraId="0B886C9F">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restart"/>
            <w:tcBorders>
              <w:left w:val="single" w:color="000000" w:sz="4" w:space="0"/>
              <w:right w:val="single" w:color="000000" w:sz="4" w:space="0"/>
            </w:tcBorders>
            <w:shd w:val="clear" w:color="auto" w:fill="auto"/>
            <w:vAlign w:val="center"/>
          </w:tcPr>
          <w:p w14:paraId="1BD0A2C4">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生命周期管理</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97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应用全周期管理</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224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1.创建与发布：</w:t>
            </w:r>
          </w:p>
          <w:p w14:paraId="460210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支持空白创建、模板创建（如审批类、数据采集类）、复制创建应用，配置应用图标、访问 URL。</w:t>
            </w:r>
          </w:p>
          <w:p w14:paraId="46E860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发布应用至服务大厅或移动端门户，支持停用与重新启用。</w:t>
            </w:r>
          </w:p>
          <w:p w14:paraId="5BE45A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2.菜单与权限：</w:t>
            </w:r>
          </w:p>
          <w:p w14:paraId="2595F66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配置应用菜单层级、导航模式（顶部 / 左侧 / 混合），支持菜单权限分配。</w:t>
            </w:r>
          </w:p>
        </w:tc>
      </w:tr>
      <w:tr w14:paraId="0E4E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4" w:type="dxa"/>
            <w:vMerge w:val="continue"/>
            <w:tcBorders>
              <w:left w:val="single" w:color="000000" w:sz="4" w:space="0"/>
              <w:right w:val="single" w:color="000000" w:sz="4" w:space="0"/>
            </w:tcBorders>
            <w:shd w:val="clear" w:color="auto" w:fill="auto"/>
            <w:vAlign w:val="center"/>
          </w:tcPr>
          <w:p w14:paraId="333A07F1">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continue"/>
            <w:tcBorders>
              <w:left w:val="single" w:color="000000" w:sz="4" w:space="0"/>
              <w:bottom w:val="single" w:color="000000" w:sz="4" w:space="0"/>
              <w:right w:val="single" w:color="000000" w:sz="4" w:space="0"/>
            </w:tcBorders>
            <w:shd w:val="clear" w:color="auto" w:fill="auto"/>
            <w:vAlign w:val="center"/>
          </w:tcPr>
          <w:p w14:paraId="601263BE">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4B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版本与迁移</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4E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1.版本控制：</w:t>
            </w:r>
          </w:p>
          <w:p w14:paraId="61D03EB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支持应用多版本管理，记录版本差异，支持增量发布（仅更新变动部分）。</w:t>
            </w:r>
          </w:p>
          <w:p w14:paraId="3884C4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2.跨环境迁移：</w:t>
            </w:r>
          </w:p>
          <w:p w14:paraId="1CC0D9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导出应用为压缩包，包含表单、流程、权限等配置，支持不同环境快速部署。</w:t>
            </w:r>
          </w:p>
        </w:tc>
      </w:tr>
      <w:tr w14:paraId="31B1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4" w:type="dxa"/>
            <w:vMerge w:val="continue"/>
            <w:tcBorders>
              <w:left w:val="single" w:color="000000" w:sz="4" w:space="0"/>
              <w:right w:val="single" w:color="000000" w:sz="4" w:space="0"/>
            </w:tcBorders>
            <w:shd w:val="clear" w:color="auto" w:fill="auto"/>
            <w:vAlign w:val="center"/>
          </w:tcPr>
          <w:p w14:paraId="24A45A18">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restart"/>
            <w:tcBorders>
              <w:left w:val="single" w:color="000000" w:sz="4" w:space="0"/>
              <w:right w:val="single" w:color="000000" w:sz="4" w:space="0"/>
            </w:tcBorders>
            <w:shd w:val="clear" w:color="auto" w:fill="auto"/>
            <w:vAlign w:val="center"/>
          </w:tcPr>
          <w:p w14:paraId="2520FBB0">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监控运维</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03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系统监控体系</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9FF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1.性能监控：</w:t>
            </w:r>
          </w:p>
          <w:p w14:paraId="7417B34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实时监控 CPU、内存、并发访问量（支持不少于 10000 人同时在线（峰值），其中 1500 人并发操作（如表单提交、流程审批），关键业务响应时间≤1 秒（如页面加载、数据查询）记录登录日志（IP、时间、操作）、异常日志（错误代码、堆栈信息）。</w:t>
            </w:r>
          </w:p>
          <w:p w14:paraId="15C338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2.运维工具：</w:t>
            </w:r>
          </w:p>
          <w:p w14:paraId="7E02671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提供服务启停、端口配置、内存 Dump 等运维功能，支持一键备份与恢复。</w:t>
            </w:r>
          </w:p>
        </w:tc>
      </w:tr>
      <w:tr w14:paraId="6650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4" w:type="dxa"/>
            <w:vMerge w:val="continue"/>
            <w:tcBorders>
              <w:left w:val="single" w:color="000000" w:sz="4" w:space="0"/>
              <w:right w:val="single" w:color="000000" w:sz="4" w:space="0"/>
            </w:tcBorders>
            <w:shd w:val="clear" w:color="auto" w:fill="auto"/>
            <w:vAlign w:val="center"/>
          </w:tcPr>
          <w:p w14:paraId="2451F066">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continue"/>
            <w:tcBorders>
              <w:left w:val="single" w:color="000000" w:sz="4" w:space="0"/>
              <w:bottom w:val="single" w:color="000000" w:sz="4" w:space="0"/>
              <w:right w:val="single" w:color="000000" w:sz="4" w:space="0"/>
            </w:tcBorders>
            <w:shd w:val="clear" w:color="auto" w:fill="auto"/>
            <w:vAlign w:val="center"/>
          </w:tcPr>
          <w:p w14:paraId="7E984D9F">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1B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故障与安全</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88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1.数据校验：</w:t>
            </w:r>
          </w:p>
          <w:p w14:paraId="5175D5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检测数据一致性，比对同步方案中的字段匹配规则，提示异常数据。</w:t>
            </w:r>
          </w:p>
          <w:p w14:paraId="033184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2.安全审计：</w:t>
            </w:r>
          </w:p>
          <w:p w14:paraId="2C423B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记录用户对表单、流程、数据的增删改查操作，满足等保二级审计要求。</w:t>
            </w:r>
          </w:p>
        </w:tc>
      </w:tr>
      <w:tr w14:paraId="5B5F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4" w:type="dxa"/>
            <w:vMerge w:val="continue"/>
            <w:tcBorders>
              <w:left w:val="single" w:color="000000" w:sz="4" w:space="0"/>
              <w:right w:val="single" w:color="000000" w:sz="4" w:space="0"/>
            </w:tcBorders>
            <w:shd w:val="clear" w:color="auto" w:fill="auto"/>
            <w:vAlign w:val="center"/>
          </w:tcPr>
          <w:p w14:paraId="315A1BC0">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restart"/>
            <w:tcBorders>
              <w:left w:val="single" w:color="000000" w:sz="4" w:space="0"/>
              <w:right w:val="single" w:color="000000" w:sz="4" w:space="0"/>
            </w:tcBorders>
            <w:shd w:val="clear" w:color="auto" w:fill="auto"/>
            <w:vAlign w:val="center"/>
          </w:tcPr>
          <w:p w14:paraId="6BECA654">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配置管理能力</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0A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权限体系设计</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D5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1.角色与权限：</w:t>
            </w:r>
          </w:p>
          <w:p w14:paraId="1BC812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定义个人级、部门级、平台级角色，分配功能模块（表单 / 流程 / 报表）与数据操作权限。</w:t>
            </w:r>
          </w:p>
          <w:p w14:paraId="4676EA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支持字段级权限（如薪资字段仅 HR 可见）、数据范围权限（如部门领导可见本部门数据）。</w:t>
            </w:r>
          </w:p>
          <w:p w14:paraId="20F73C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2.权限分配：</w:t>
            </w:r>
          </w:p>
          <w:p w14:paraId="3265B4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通过角色关联用户或设置用户条件（如 “部门 = 财务部” 自动赋予报销审批角色）。</w:t>
            </w:r>
          </w:p>
        </w:tc>
      </w:tr>
      <w:tr w14:paraId="1C74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4" w:type="dxa"/>
            <w:vMerge w:val="continue"/>
            <w:tcBorders>
              <w:left w:val="single" w:color="000000" w:sz="4" w:space="0"/>
              <w:right w:val="single" w:color="000000" w:sz="4" w:space="0"/>
            </w:tcBorders>
            <w:shd w:val="clear" w:color="auto" w:fill="auto"/>
            <w:vAlign w:val="center"/>
          </w:tcPr>
          <w:p w14:paraId="47E23B74">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continue"/>
            <w:tcBorders>
              <w:left w:val="single" w:color="000000" w:sz="4" w:space="0"/>
              <w:bottom w:val="single" w:color="000000" w:sz="4" w:space="0"/>
              <w:right w:val="single" w:color="000000" w:sz="4" w:space="0"/>
            </w:tcBorders>
            <w:shd w:val="clear" w:color="auto" w:fill="auto"/>
            <w:vAlign w:val="center"/>
          </w:tcPr>
          <w:p w14:paraId="48A7D9C3">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EE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系统参数配置</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FA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1.全局设置：</w:t>
            </w:r>
          </w:p>
          <w:p w14:paraId="12A314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配置 UI 主题（多套默认主题 + 自定义）、语言（中文 / 英文）、登录方式（账号密码 / 统一认证）。</w:t>
            </w:r>
          </w:p>
          <w:p w14:paraId="21F633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管理环境变量、业务规则（如流程超时自动提醒）。</w:t>
            </w:r>
          </w:p>
          <w:p w14:paraId="6B552A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2.集成配置：</w:t>
            </w:r>
          </w:p>
          <w:p w14:paraId="475568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（1）支持与学校统一身份认证平台（如 CAS、OAuth2.0/OpenID Connect）对接，实现以下功能：  </w:t>
            </w:r>
          </w:p>
          <w:p w14:paraId="22CA309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单点登录（SSO）：用户通过学校统一账号密码登录，无需重复注册，支持跨系统会话保持；  </w:t>
            </w:r>
          </w:p>
          <w:p w14:paraId="70B730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用户信息同步：自动同步用户工号、姓名、部门、角色等基础信息，与低代码平台权限体系无缝映射；  </w:t>
            </w:r>
          </w:p>
          <w:p w14:paraId="4BA2FE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认证技术标准：遵循 SAML 2.0 协议，支持 OIDC 身份令牌验证，提供对接技术文档及联调支持。</w:t>
            </w:r>
          </w:p>
          <w:p w14:paraId="61B4AB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（2）与学校“一网通办”平台深度对接，实现以下核心功能：  </w:t>
            </w:r>
          </w:p>
          <w:p w14:paraId="6D1468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待办事项同步：低代码平台生成的流程审批、数据提交等任务，实时同步至一网通办“我的待办”列表，支持一键跳转处理；  </w:t>
            </w:r>
          </w:p>
          <w:p w14:paraId="217C33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流程审批集成：一网通办发起的业务（如教职工请假、设备报修）可调用低代码平台流程引擎，支持审批节点、审批人、审批规则的统一配置；  </w:t>
            </w:r>
          </w:p>
          <w:p w14:paraId="21100A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数据共享互通：通过 API 接口实现低代码平台与一网通办基础数据（如部门架构、教职工信息）的双向同步，确保数据一致性。</w:t>
            </w:r>
          </w:p>
          <w:p w14:paraId="75A631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配置短信、邮件、企业微信等消息通道，支持消息模板动态参数嵌入。</w:t>
            </w:r>
          </w:p>
        </w:tc>
      </w:tr>
      <w:tr w14:paraId="40EB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4" w:type="dxa"/>
            <w:vMerge w:val="continue"/>
            <w:tcBorders>
              <w:left w:val="single" w:color="000000" w:sz="4" w:space="0"/>
              <w:right w:val="single" w:color="000000" w:sz="4" w:space="0"/>
            </w:tcBorders>
            <w:shd w:val="clear" w:color="auto" w:fill="auto"/>
            <w:vAlign w:val="center"/>
          </w:tcPr>
          <w:p w14:paraId="0FEF8ADA">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restart"/>
            <w:tcBorders>
              <w:left w:val="single" w:color="000000" w:sz="4" w:space="0"/>
              <w:right w:val="single" w:color="000000" w:sz="4" w:space="0"/>
            </w:tcBorders>
            <w:shd w:val="clear" w:color="auto" w:fill="auto"/>
            <w:vAlign w:val="center"/>
          </w:tcPr>
          <w:p w14:paraId="2CEF9BEF">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应用控制</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B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用户与组织管理</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DE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1.组织架构：</w:t>
            </w:r>
          </w:p>
          <w:p w14:paraId="65D1FA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维护多层级机构（学校 - 学院 - 部门）、人员信息（工号、角色、权限），支持与学校数据中心同步。</w:t>
            </w:r>
          </w:p>
          <w:p w14:paraId="49DEC8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2.用户中心：</w:t>
            </w:r>
          </w:p>
          <w:p w14:paraId="411C3A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展示用户收藏的应用、最近使用记录，支持关键词搜索与分类筛选。</w:t>
            </w:r>
          </w:p>
        </w:tc>
      </w:tr>
      <w:tr w14:paraId="0153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4" w:type="dxa"/>
            <w:vMerge w:val="continue"/>
            <w:tcBorders>
              <w:left w:val="single" w:color="000000" w:sz="4" w:space="0"/>
              <w:right w:val="single" w:color="000000" w:sz="4" w:space="0"/>
            </w:tcBorders>
            <w:shd w:val="clear" w:color="auto" w:fill="auto"/>
            <w:vAlign w:val="center"/>
          </w:tcPr>
          <w:p w14:paraId="5D78A2B6">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continue"/>
            <w:tcBorders>
              <w:left w:val="single" w:color="000000" w:sz="4" w:space="0"/>
              <w:right w:val="single" w:color="000000" w:sz="4" w:space="0"/>
            </w:tcBorders>
            <w:shd w:val="clear" w:color="auto" w:fill="auto"/>
            <w:vAlign w:val="center"/>
          </w:tcPr>
          <w:p w14:paraId="476F8441">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5C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服务与流程中心</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05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1.待办事项：</w:t>
            </w:r>
          </w:p>
          <w:p w14:paraId="24F697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集中展示 “待审批”“已抄送”“已办结” 事项，支持一键跳转办理页面。</w:t>
            </w:r>
          </w:p>
          <w:p w14:paraId="298C0D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2.应用分类：</w:t>
            </w:r>
          </w:p>
          <w:p w14:paraId="75EB5E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按 “管理类”“自助服务类”“AI 应用类” 分类展示应用，支持权限范围内的快速访问。</w:t>
            </w:r>
          </w:p>
        </w:tc>
      </w:tr>
      <w:tr w14:paraId="6CF3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4" w:type="dxa"/>
            <w:vMerge w:val="continue"/>
            <w:tcBorders>
              <w:left w:val="single" w:color="000000" w:sz="4" w:space="0"/>
              <w:right w:val="single" w:color="000000" w:sz="4" w:space="0"/>
            </w:tcBorders>
            <w:shd w:val="clear" w:color="auto" w:fill="auto"/>
            <w:vAlign w:val="center"/>
          </w:tcPr>
          <w:p w14:paraId="090CE822">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continue"/>
            <w:tcBorders>
              <w:left w:val="single" w:color="000000" w:sz="4" w:space="0"/>
              <w:right w:val="single" w:color="000000" w:sz="4" w:space="0"/>
            </w:tcBorders>
            <w:shd w:val="clear" w:color="auto" w:fill="auto"/>
            <w:vAlign w:val="center"/>
          </w:tcPr>
          <w:p w14:paraId="23117F28">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21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个性化门户</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4D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1.门户定制：</w:t>
            </w:r>
          </w:p>
          <w:p w14:paraId="15116F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自定义门户布局（模块拖拽、组件大小调整）、主题色、轮播图，支持多页签模式。</w:t>
            </w:r>
          </w:p>
          <w:p w14:paraId="551866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2.移动门户：</w:t>
            </w:r>
          </w:p>
          <w:p w14:paraId="4E295D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适配学校官方 APP 或微信公众号，同步展示待办、应用入口及个性化设置。</w:t>
            </w:r>
          </w:p>
        </w:tc>
      </w:tr>
      <w:tr w14:paraId="4E32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4" w:type="dxa"/>
            <w:vMerge w:val="continue"/>
            <w:tcBorders>
              <w:left w:val="single" w:color="000000" w:sz="4" w:space="0"/>
              <w:right w:val="single" w:color="000000" w:sz="4" w:space="0"/>
            </w:tcBorders>
            <w:shd w:val="clear" w:color="auto" w:fill="auto"/>
            <w:vAlign w:val="center"/>
          </w:tcPr>
          <w:p w14:paraId="4DBF15E1">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restart"/>
            <w:tcBorders>
              <w:left w:val="single" w:color="000000" w:sz="4" w:space="0"/>
              <w:right w:val="single" w:color="000000" w:sz="4" w:space="0"/>
            </w:tcBorders>
            <w:shd w:val="clear" w:color="auto" w:fill="auto"/>
            <w:vAlign w:val="center"/>
          </w:tcPr>
          <w:p w14:paraId="347B3661">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培训与运维</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7D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低代码平台培训服务</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8AE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提供每学期不</w:t>
            </w:r>
            <w:bookmarkStart w:id="0" w:name="_GoBack"/>
            <w:bookmarkEnd w:id="0"/>
            <w:r>
              <w:rPr>
                <w:rFonts w:hint="eastAsia" w:ascii="宋体" w:hAnsi="宋体" w:eastAsia="宋体" w:cs="宋体"/>
                <w:i w:val="0"/>
                <w:iCs w:val="0"/>
                <w:color w:val="auto"/>
                <w:kern w:val="0"/>
                <w:sz w:val="21"/>
                <w:szCs w:val="21"/>
                <w:u w:val="none"/>
                <w:lang w:val="en-US" w:eastAsia="zh-CN" w:bidi="ar"/>
              </w:rPr>
              <w:t xml:space="preserve">少于 2 次的定制化培训，内容包括：  </w:t>
            </w:r>
          </w:p>
          <w:p w14:paraId="1C09D19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基础操作：页面设计、流程编排、数据建模（理论+实操，含案例演示）；  </w:t>
            </w:r>
          </w:p>
          <w:p w14:paraId="00FC23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进阶开发：自定义组件、API 集成、多租户配置（面向技术团队）；  </w:t>
            </w:r>
          </w:p>
          <w:p w14:paraId="7322C2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培训形式：在线培训，提供培训手册及实操练习题。  </w:t>
            </w:r>
          </w:p>
        </w:tc>
      </w:tr>
      <w:tr w14:paraId="0D05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4" w:type="dxa"/>
            <w:vMerge w:val="continue"/>
            <w:tcBorders>
              <w:left w:val="single" w:color="000000" w:sz="4" w:space="0"/>
              <w:bottom w:val="single" w:color="000000" w:sz="4" w:space="0"/>
              <w:right w:val="single" w:color="000000" w:sz="4" w:space="0"/>
            </w:tcBorders>
            <w:shd w:val="clear" w:color="auto" w:fill="auto"/>
            <w:vAlign w:val="center"/>
          </w:tcPr>
          <w:p w14:paraId="4A443616">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693" w:type="dxa"/>
            <w:vMerge w:val="continue"/>
            <w:tcBorders>
              <w:left w:val="single" w:color="000000" w:sz="4" w:space="0"/>
              <w:bottom w:val="single" w:color="000000" w:sz="4" w:space="0"/>
              <w:right w:val="single" w:color="000000" w:sz="4" w:space="0"/>
            </w:tcBorders>
            <w:shd w:val="clear" w:color="auto" w:fill="auto"/>
            <w:vAlign w:val="center"/>
          </w:tcPr>
          <w:p w14:paraId="7E64A203">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6E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运维保障服务</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98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1.响应时效：7×24 小时故障响应，工作日 2 小时内到达现场（本地部署场景），非工作日 4 小时内远程解决；  </w:t>
            </w:r>
          </w:p>
          <w:p w14:paraId="7C2438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2.定期维护：每季度一次系统巡检（含性能优化、安全漏洞扫描），年度免费版本升级（含新功能模块及兼容性更新）；  </w:t>
            </w:r>
          </w:p>
          <w:p w14:paraId="2EB2AF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3.数据备份：支持自动备份（每日全量备份+实时增量备份），提供手动备份工具，确保数据可恢复至任意历史版本。  </w:t>
            </w:r>
          </w:p>
        </w:tc>
      </w:tr>
    </w:tbl>
    <w:p w14:paraId="2575EC45">
      <w:pPr>
        <w:rPr>
          <w:rFonts w:hint="eastAsia"/>
          <w:color w:val="auto"/>
        </w:rPr>
      </w:pPr>
    </w:p>
    <w:p w14:paraId="2FD4DBCA">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color w:val="auto"/>
        </w:rPr>
      </w:pPr>
      <w:r>
        <w:rPr>
          <w:rFonts w:hint="eastAsia" w:ascii="宋体" w:hAnsi="宋体" w:eastAsia="宋体" w:cs="宋体"/>
          <w:color w:val="auto"/>
          <w:sz w:val="21"/>
          <w:szCs w:val="21"/>
          <w:lang w:val="en-US" w:eastAsia="zh-CN"/>
        </w:rPr>
        <w:t>AI知识服务平台功能清单</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9"/>
        <w:gridCol w:w="1084"/>
        <w:gridCol w:w="1711"/>
        <w:gridCol w:w="5145"/>
      </w:tblGrid>
      <w:tr w14:paraId="4F0C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D14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FF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一级功能</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48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二级功能</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3C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二级功能描述</w:t>
            </w:r>
          </w:p>
        </w:tc>
      </w:tr>
      <w:tr w14:paraId="5AB0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8BB8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知识服务应用（PC端）</w:t>
            </w:r>
          </w:p>
        </w:tc>
      </w:tr>
      <w:tr w14:paraId="15A9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39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36" w:type="pct"/>
            <w:vMerge w:val="restart"/>
            <w:tcBorders>
              <w:top w:val="single" w:color="000000" w:sz="4" w:space="0"/>
              <w:left w:val="single" w:color="000000" w:sz="4" w:space="0"/>
              <w:right w:val="single" w:color="000000" w:sz="4" w:space="0"/>
            </w:tcBorders>
            <w:shd w:val="clear" w:color="auto" w:fill="auto"/>
            <w:vAlign w:val="center"/>
          </w:tcPr>
          <w:p w14:paraId="0250B3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知识服务</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7F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校园百事通</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3D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提升师生线上业务咨询、办理效率，帮助用户通过自然语言实现业务入口推送、“一网通办”办事指南获取，能够对接第三方应用（实现自然语言预约类业务办理、数据查询等）深度融合。</w:t>
            </w:r>
          </w:p>
        </w:tc>
      </w:tr>
      <w:tr w14:paraId="2B5A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5E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36" w:type="pct"/>
            <w:vMerge w:val="continue"/>
            <w:tcBorders>
              <w:left w:val="single" w:color="000000" w:sz="4" w:space="0"/>
              <w:right w:val="single" w:color="000000" w:sz="4" w:space="0"/>
            </w:tcBorders>
            <w:shd w:val="clear" w:color="auto" w:fill="auto"/>
            <w:vAlign w:val="center"/>
          </w:tcPr>
          <w:p w14:paraId="6C38FB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09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文档解读助手</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B44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升个人文档的阅读效率，帮助用户快速理解和提取文档中的关键信息。涉及上传文档、历史文档、在线预览、文档知识对话（发送、文本输入、图片上传、清楚对话、语音输入、语音播报）功能；支持基于文档的知识召回对接；</w:t>
            </w:r>
          </w:p>
        </w:tc>
      </w:tr>
      <w:tr w14:paraId="1FE9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04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36" w:type="pct"/>
            <w:vMerge w:val="continue"/>
            <w:tcBorders>
              <w:left w:val="single" w:color="000000" w:sz="4" w:space="0"/>
              <w:right w:val="single" w:color="000000" w:sz="4" w:space="0"/>
            </w:tcBorders>
            <w:shd w:val="clear" w:color="auto" w:fill="auto"/>
            <w:vAlign w:val="center"/>
          </w:tcPr>
          <w:p w14:paraId="111D5EF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E1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知识员工助手</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97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打造部门知识员工，帮助用户快速访问不同部门的知识。涉及知识员工列表、创建会话、清除会话、文档知识对话（发送、文本输入、图片上传、清楚对话、语音输入、语音播报）功能；支持基于主题的知识召回对接。助力部门及业务知识助理的构建，如：校园百事通、招生助手、后勤服务助手等。</w:t>
            </w:r>
          </w:p>
        </w:tc>
      </w:tr>
      <w:tr w14:paraId="48A7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54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36" w:type="pct"/>
            <w:vMerge w:val="continue"/>
            <w:tcBorders>
              <w:left w:val="single" w:color="000000" w:sz="4" w:space="0"/>
              <w:right w:val="single" w:color="000000" w:sz="4" w:space="0"/>
            </w:tcBorders>
            <w:shd w:val="clear" w:color="auto" w:fill="auto"/>
            <w:vAlign w:val="center"/>
          </w:tcPr>
          <w:p w14:paraId="4D7183C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5F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知识查阅助手</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43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提供高效、精准的知识检索与查阅服务，支持多维度搜索、分类搜索、智能推荐和权限管理，帮助用户快速获取所需信息</w:t>
            </w:r>
          </w:p>
        </w:tc>
      </w:tr>
      <w:tr w14:paraId="3BE4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3C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36" w:type="pct"/>
            <w:vMerge w:val="continue"/>
            <w:tcBorders>
              <w:left w:val="single" w:color="000000" w:sz="4" w:space="0"/>
              <w:right w:val="single" w:color="000000" w:sz="4" w:space="0"/>
            </w:tcBorders>
            <w:shd w:val="clear" w:color="auto" w:fill="auto"/>
            <w:vAlign w:val="center"/>
          </w:tcPr>
          <w:p w14:paraId="62D6483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8A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数据管理</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2D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广场作为统一知识服务平台的重要组成部分，面向授权用户集中展示结构化数据资源，支持按业务分类浏览、关键词搜索与权限范围内数据列表查看，支持通过多文档大模型与AI分析技术，实现对复杂教育数据的深度处理和报告可视化展示。用户可快速访问各类业务数据，进行多维度筛选和智能问答，系统支持自定义数据分析报告生成，帮助高校管理层、教师精准掌握学术与管理数据。</w:t>
            </w:r>
          </w:p>
        </w:tc>
      </w:tr>
      <w:tr w14:paraId="4C6E2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4F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36" w:type="pct"/>
            <w:vMerge w:val="continue"/>
            <w:tcBorders>
              <w:left w:val="single" w:color="000000" w:sz="4" w:space="0"/>
              <w:right w:val="single" w:color="000000" w:sz="4" w:space="0"/>
            </w:tcBorders>
            <w:shd w:val="clear" w:color="auto" w:fill="auto"/>
            <w:vAlign w:val="center"/>
          </w:tcPr>
          <w:p w14:paraId="593BBAE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4E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知识管理</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37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知识广场作为统一知识服务平台的核心入口，基于知识分级分类与精细化权限控制机制，展示用户授权范围内的共享知识库内容，支持关键词搜索、分类筛选、热门推荐与知识库详情查看，用户可自主加入或退出感兴趣的知识库，构建个性化知识空间。提供API与业务系统非结构化数据进行对接。</w:t>
            </w:r>
          </w:p>
        </w:tc>
      </w:tr>
      <w:tr w14:paraId="73F9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AE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636" w:type="pct"/>
            <w:vMerge w:val="continue"/>
            <w:tcBorders>
              <w:left w:val="single" w:color="000000" w:sz="4" w:space="0"/>
              <w:bottom w:val="single" w:color="000000" w:sz="4" w:space="0"/>
              <w:right w:val="single" w:color="000000" w:sz="4" w:space="0"/>
            </w:tcBorders>
            <w:shd w:val="clear" w:color="auto" w:fill="auto"/>
            <w:vAlign w:val="center"/>
          </w:tcPr>
          <w:p w14:paraId="2700F7D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AC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技术要求</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46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通过智能汇总用户高频问题并实时更新排序，同时每日/每周推送知识库更新动态，帮助用户及时掌握最新信息。系统支持数据分析报告的在线预览与下载，直观呈现关键信息，并实时同步用户最近查阅的文档记录。基于权限智能匹配专属解答助手，提供个性化服务，同时集成语音与文本双模搜索功能。</w:t>
            </w:r>
          </w:p>
          <w:p w14:paraId="7257822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（2）支持PDF、Word、PPT等多格式文档上传，支持查阅历史文件并实时预览内容。支持文本输入和语音交互两种方式获取精准解答，支持图搜文能力。</w:t>
            </w:r>
          </w:p>
          <w:p w14:paraId="2467F18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（3）支持通过标题、摘要、内容、标签等多维度查询。支持按时间排序快速定位所需信息，支持预览文档内容，支持一键收藏重要资料。提供手动生成文档内容摘要功能。</w:t>
            </w:r>
          </w:p>
          <w:p w14:paraId="01BB6B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（4）支持按组织架构、教职工信息、人才培养、教学评估、成果项目等分类。支持预览各类数据信息并一键收藏重要内容，支持根据权限设置查阅和下载定制化的分析报告，支持数据汇总能力</w:t>
            </w:r>
          </w:p>
          <w:p w14:paraId="7E7CA0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（5）支持指标数据如学校部门，教职工人数，学生人数等进行数据处理能力（如加减运算），支持查看指标的定义，支持提供链接并跳转查看指标报告</w:t>
            </w:r>
          </w:p>
          <w:p w14:paraId="6EC956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支持创建专属主题应用，支持用户手动精准添加文档、图片及数据资源，支持实时预览。支持查看已关联资源文件，支持删除关联资源。支持将主题资源单个或批量同步至文档大模型，支持对话记录导出、支持语音播报设置，支持主题分享</w:t>
            </w:r>
          </w:p>
          <w:p w14:paraId="792E56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支持管理元数据管理，支持通过输入、输出、横向连接等控件新建数据信息，支持按分类汇总、数据筛选、追加合并等控件设计表单，支持自动化采集和归档数据，支持将数据表按权限分配负责人，支持一键采集和一键复用数据功能。</w:t>
            </w:r>
          </w:p>
          <w:p w14:paraId="232919F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（8）支持通过人员选择器、单位控件、自定义控件、引用模块等控件配置表单，支持编辑表单，删除表单，表单权限设置等能力。</w:t>
            </w:r>
          </w:p>
          <w:p w14:paraId="01C006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（9）支持用户上传视频、图片、文档等多样化资源，系统自动智能分类整理。支持文档设置标签，提供批量下载、在线重命名及删除等功能。支持查看已分享资源信息，支持灵活调整分享权限设置</w:t>
            </w:r>
          </w:p>
          <w:p w14:paraId="36DA21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支持将文档自动转换为多种格式（PDF、MD等），提供OCR、OCRM、Common、OCR-HH等多种智能拆分模式。系统可自动生成文章和图片摘要，摘要生成准确率≥90%。可下载JSON文件或源文档，并支持重新生成摘要或重新生成PDF文档。</w:t>
            </w:r>
          </w:p>
          <w:p w14:paraId="6DA862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（11）支持编辑主题助手的配置，支持修改主题关联的大模型，并可自定义语言环境设置。支持调整主题召回参数，包括对话大模型的prompt tokens、召回比例及提示词等关键指标。</w:t>
            </w:r>
          </w:p>
          <w:p w14:paraId="47D076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（12）支持新增报告，生成报告，查看报告，实时查看数据，设置报告权限等能力</w:t>
            </w:r>
          </w:p>
          <w:p w14:paraId="72655E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（13）支持智能图搜图功能，精准定位图片出处并关联相关文档。</w:t>
            </w:r>
          </w:p>
          <w:p w14:paraId="516E7B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（14）支持管理员根据资源类型分类管理，支持设置转存审核/不审核，支持设置可下载/不可下载，支持转存公共资源</w:t>
            </w:r>
          </w:p>
          <w:p w14:paraId="44B0BF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（15）支持通过上一段落，下一段落方式查看摘要文件，系统支持自动推荐符合程度高的文档内容，支持按MD和PDF格式阅读全文</w:t>
            </w:r>
          </w:p>
        </w:tc>
      </w:tr>
      <w:tr w14:paraId="477A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C58F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知识服务管理平台</w:t>
            </w:r>
          </w:p>
        </w:tc>
      </w:tr>
      <w:tr w14:paraId="4599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C9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63E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资源管理</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D0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资源上传与分类</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89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用户可以上传多种格式的资源文件（如图片、pdf、excel、文档等），系统支持自动分类和标签管理，方便用户快速定位和管理资源，确保资源整理的规范性和系统性。</w:t>
            </w:r>
          </w:p>
        </w:tc>
      </w:tr>
      <w:tr w14:paraId="7A0C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0E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0855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DB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资源文件夹管理</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159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支持创建、编辑和删除资源文件夹，方便用户按项目或主题对资源进行分类整理。文件夹内资源可批量移动、删除或共享，提升资源组织的灵活性和管理效率。</w:t>
            </w:r>
          </w:p>
        </w:tc>
      </w:tr>
      <w:tr w14:paraId="632EC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EE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8FA3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0E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资源重命名与备注</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47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用户可以对上传的资源进行重命名和添加备注，确保资源名称和描述的准确性，便于后续快速检索和使用。系统支持批量重命名和备注编辑，提高资源整理效率。</w:t>
            </w:r>
          </w:p>
        </w:tc>
      </w:tr>
      <w:tr w14:paraId="4767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80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80DF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AB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资源批量操作</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25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支持资源的批量上传、下载、移动和删除操作，提升资源管理的效率。用户可以通过简单的勾选操作进行批量处理，系统提供操作日志记录，方便追踪和管理资源变动。</w:t>
            </w:r>
          </w:p>
        </w:tc>
      </w:tr>
      <w:tr w14:paraId="7EC8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B6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11</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CF13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33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个人资源管理</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358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用户可以查看和管理个人的资源。支持个人资源分享、分享设置、取消分享。可将资源分享至公共资源；设置保存限制为无需审核时，他人进行转存不需要审核，设置保存限制需要审核时，他人进行转存时需要我进行审核（菜单转存申请审核），审核通过方可转存成功；设置不可下载时，他人转存后，菜单我的资源该资源没有下载按钮；设置可下载时，他人转存后，菜单我的资源该资源显示下载按钮，可进行下载</w:t>
            </w:r>
          </w:p>
        </w:tc>
      </w:tr>
      <w:tr w14:paraId="0B38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FA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F0A5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D9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部门资源管理</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57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每个部门通过授权的方式，分配部门资源管理员。有全新的用户可以进行部门资源管理。用户可以查看和管理所属部门的资源。支持个人资源分享、分享设置、取消分享。</w:t>
            </w:r>
          </w:p>
        </w:tc>
      </w:tr>
      <w:tr w14:paraId="4C16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CD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13</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5A1F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D9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公共资源管理</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A0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建立统一的公共资源入口。基于个人资源、部门资源管理入口分享成功后的资源，会存储到公共资源管理。公共资源面向全部师生可见。支持分享资源的下载与在线预览</w:t>
            </w:r>
          </w:p>
        </w:tc>
      </w:tr>
      <w:tr w14:paraId="5704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7C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14</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3DC3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61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资源转存</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180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用户可以将部门资源或公共资源快速转存到个人资源库，转存后的资源将归入“我的资源”，并可进行个性化管理（如重命名、备注、分类等）。系统支持批量转存和加密存储，确保转存资源的安全性和可追溯性。</w:t>
            </w:r>
          </w:p>
        </w:tc>
      </w:tr>
      <w:tr w14:paraId="4185B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4C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636" w:type="pct"/>
            <w:vMerge w:val="restart"/>
            <w:tcBorders>
              <w:top w:val="single" w:color="000000" w:sz="4" w:space="0"/>
              <w:left w:val="single" w:color="000000" w:sz="4" w:space="0"/>
              <w:right w:val="single" w:color="000000" w:sz="4" w:space="0"/>
            </w:tcBorders>
            <w:shd w:val="clear" w:color="auto" w:fill="auto"/>
            <w:vAlign w:val="center"/>
          </w:tcPr>
          <w:p w14:paraId="1147EFED">
            <w:pPr>
              <w:keepNext w:val="0"/>
              <w:keepLines w:val="0"/>
              <w:pageBreakBefore w:val="0"/>
              <w:widowControl/>
              <w:tabs>
                <w:tab w:val="left" w:pos="343"/>
              </w:tabs>
              <w:kinsoku/>
              <w:wordWrap/>
              <w:overflowPunct/>
              <w:topLinePunct w:val="0"/>
              <w:autoSpaceDE/>
              <w:autoSpaceDN/>
              <w:bidi w:val="0"/>
              <w:adjustRightInd w:val="0"/>
              <w:snapToGrid w:val="0"/>
              <w:jc w:val="left"/>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定制数据开发管理</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9E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数据管理</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260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提供结构化数据的创建、管理和同步功能，支持关联数据板块处理模块数据和定制数据，构建高质量的结构化资源。系统将对数据库表数据进行标准化处理，支持数据问答、数据主题、分析报告等多种应用场景，提升数据利用率和决策支持能力。</w:t>
            </w:r>
          </w:p>
        </w:tc>
      </w:tr>
      <w:tr w14:paraId="292C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BC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c>
          <w:tcPr>
            <w:tcW w:w="636" w:type="pct"/>
            <w:vMerge w:val="continue"/>
            <w:tcBorders>
              <w:left w:val="single" w:color="000000" w:sz="4" w:space="0"/>
              <w:right w:val="single" w:color="000000" w:sz="4" w:space="0"/>
            </w:tcBorders>
            <w:shd w:val="clear" w:color="auto" w:fill="auto"/>
            <w:vAlign w:val="center"/>
          </w:tcPr>
          <w:p w14:paraId="1ED7132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70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报告管理</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965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提供分析报告的创建、管理和更新功能，支持通过关联政务数据生成定制化的结构化报告。系统依据数据提取规则和分析模型生成高质量报告，广泛应用于业务分析、决策支持和数据可视化展示等场景，提升数据可视化和决策支持能力。</w:t>
            </w:r>
          </w:p>
        </w:tc>
      </w:tr>
      <w:tr w14:paraId="1478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32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w:t>
            </w:r>
          </w:p>
        </w:tc>
        <w:tc>
          <w:tcPr>
            <w:tcW w:w="636" w:type="pct"/>
            <w:vMerge w:val="continue"/>
            <w:tcBorders>
              <w:left w:val="single" w:color="000000" w:sz="4" w:space="0"/>
              <w:right w:val="single" w:color="000000" w:sz="4" w:space="0"/>
            </w:tcBorders>
            <w:shd w:val="clear" w:color="auto" w:fill="auto"/>
            <w:vAlign w:val="center"/>
          </w:tcPr>
          <w:p w14:paraId="7AEE0D7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AC7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定制数据开发</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279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结合定制数据开发能力，打通校本数据中心，复用校本数据标准与数据模型，灵活开展数据明细加工与生成。系统支持多表数据整合与处理，用户可通过可视化界面拖拽不同数据表，设置数据联结规则（如内联、外联等）、进行字段映射与数据转换，自动生成新数据表，满足复杂数据模型构建与跨表分析需求。</w:t>
            </w:r>
          </w:p>
        </w:tc>
      </w:tr>
      <w:tr w14:paraId="5D0C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FA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c>
          <w:tcPr>
            <w:tcW w:w="636" w:type="pct"/>
            <w:vMerge w:val="continue"/>
            <w:tcBorders>
              <w:left w:val="single" w:color="000000" w:sz="4" w:space="0"/>
              <w:bottom w:val="single" w:color="000000" w:sz="4" w:space="0"/>
              <w:right w:val="single" w:color="000000" w:sz="4" w:space="0"/>
            </w:tcBorders>
            <w:shd w:val="clear" w:color="auto" w:fill="auto"/>
            <w:vAlign w:val="center"/>
          </w:tcPr>
          <w:p w14:paraId="2E8A113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12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9DE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(1)默认与数据中台打通，支持通过web界面一键逆向生成数据模型，并支持对模型信息进行管理及归类；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(2)数据信息库中支持从数仓中挑选任一或多个事实逻辑表或汇总表及其字段作为数据输入源；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(3)对于输入的数据源可通过拖拉数据处理组件进行可视化加工，组件可支持自定义配置，组件之间可通过连线自由组合并建立关联关系，数据处理组件至少包括：横向连接、分类汇总、数据筛选、数据排序、追加合并、字段设置、字典翻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(4)其中，数据筛选组件应同时支持默认字符和变量解析两种参数的输入及使用复杂条件组合，字段设置应支持自定义字段及脚本片段，字典翻译应支持一个组件可同时配置多个字段的码值表及过滤条件；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(5)支持内置函数及高级函数组件，其中，高级函数需支持滑动窗口、滚动窗口、会话窗口等流计算函数及文本查重、数据存储等数据处理函数；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(6)所有高级函数均应配备帮助文档并支持对帮助文档进行管理；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(7)包含高级函数的数据集，应支持自定义配置数据刷新时间，并应支持查看运行日志；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(8)支持数据输出及查询，查询过程中需支持自定义条件筛选；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(9)支持对输出的数据集进行可视化呈现，通过仪表板编辑器，以拖拉拽的配置形式在画布中将数据明细或数据指标转换为丰富的图表形式，并发布为主题数据看板；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(10)所有数据集及仪表板均应支持授权管理，包括权限申请及主动批量授权、消权，其中，权限申请应支持流程审批。</w:t>
            </w:r>
          </w:p>
        </w:tc>
      </w:tr>
      <w:tr w14:paraId="09062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CF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19</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37A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接口管理</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04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对话对接</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0F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开放知识服务大模型对话对接API，支持基于单主题、多主题、单文档进行知识对话、支持知识对话及查阅对话历史。</w:t>
            </w:r>
          </w:p>
        </w:tc>
      </w:tr>
      <w:tr w14:paraId="1424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4D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20</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FA68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19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主题对接</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7D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开放知识服务大模型主题对接API，支持主题管理、主题查询</w:t>
            </w:r>
          </w:p>
        </w:tc>
      </w:tr>
      <w:tr w14:paraId="477A6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F8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21</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4784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C5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文档对接</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0EE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开放知识服务大模型文档对接API，支持文档拆分、文档上传、文档删除、文档处理、文档查询、文档更新。支持多种文档格式（如Word、PDF、Excel、图片等）。</w:t>
            </w:r>
          </w:p>
        </w:tc>
      </w:tr>
      <w:tr w14:paraId="45FA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48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22</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4DB8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23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资源结构对接</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CD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提供资源管理能力，支持通过API上传资源、更新资源、删除资源</w:t>
            </w:r>
          </w:p>
        </w:tc>
      </w:tr>
      <w:tr w14:paraId="394A0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8A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23</w:t>
            </w:r>
          </w:p>
        </w:tc>
        <w:tc>
          <w:tcPr>
            <w:tcW w:w="636" w:type="pct"/>
            <w:tcBorders>
              <w:top w:val="single" w:color="000000" w:sz="4" w:space="0"/>
              <w:left w:val="single" w:color="000000" w:sz="4" w:space="0"/>
              <w:bottom w:val="nil"/>
              <w:right w:val="single" w:color="000000" w:sz="4" w:space="0"/>
            </w:tcBorders>
            <w:shd w:val="clear" w:color="auto" w:fill="auto"/>
            <w:vAlign w:val="center"/>
          </w:tcPr>
          <w:p w14:paraId="58C0EA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系统集成服务</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51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统一身份认证集成</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39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支持与学校统一身份认证对接，通过学校一网通办访问文档解读主题、知识员工主题、知识解读主题、知识服务管理相关功能。</w:t>
            </w:r>
          </w:p>
        </w:tc>
      </w:tr>
      <w:tr w14:paraId="5E9D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A636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知识服务大模型</w:t>
            </w:r>
          </w:p>
        </w:tc>
      </w:tr>
      <w:tr w14:paraId="3F93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24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B6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知识预处理与结构化管理</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9E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格式转换</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31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将上传的文档统一转换为Markdown或PDF格式，便于后续的知识提取、整理和展示，确保不同格式的文档能够在系统中高效应用。</w:t>
            </w:r>
          </w:p>
        </w:tc>
      </w:tr>
      <w:tr w14:paraId="416B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8D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FFB2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77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OCR与版面分析</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C2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结合OCR技术和版面分析，提取文档中的文字和结构化信息，尤其适用于扫描件和复杂版式文档，提升非结构化数据的数字化处理能力。</w:t>
            </w:r>
          </w:p>
        </w:tc>
      </w:tr>
      <w:tr w14:paraId="2A74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2F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9004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32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层次结构与目录树识别</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FF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自动识别文档中的章节层级和目录，生成清晰的目录树，方便用户快速定位关键信息，提高文档的可读性和检索效率。</w:t>
            </w:r>
          </w:p>
        </w:tc>
      </w:tr>
      <w:tr w14:paraId="00A4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3B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9CD7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C6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多模态内容提取</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43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支持从文档中提取图片、表格、附件和链接等多模态信息，满足复杂文档的内容管理需求，为后续的知识分析和召回提供丰富的数据来源。</w:t>
            </w:r>
          </w:p>
        </w:tc>
      </w:tr>
      <w:tr w14:paraId="0308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D4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8B82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77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文档切片与章节摘要</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55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按章节、长度或语义拆分文档，生成高质量的摘要，帮助用户快速获取文档核心信息，提升知识调用效率和内容理解深度。</w:t>
            </w:r>
          </w:p>
        </w:tc>
      </w:tr>
      <w:tr w14:paraId="489A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41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FE0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知识召回与问答服务</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80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多路召回与二次精排</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A95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提供多种召回方式（如标题、段落、摘要向量及BM25算法），确保用户在检索知识时能够获得高精度的内容匹配，提升搜索的精准度和相关性。</w:t>
            </w:r>
          </w:p>
        </w:tc>
      </w:tr>
      <w:tr w14:paraId="2068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07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A9A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DC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多模态召回</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EF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支持以文搜文、以文搜图、以图搜图等多模态召回方式，满足用户在不同场景下的知识检索需求，拓宽信息获取的渠道。</w:t>
            </w:r>
          </w:p>
        </w:tc>
      </w:tr>
      <w:tr w14:paraId="0E54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6D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8F9C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1E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问答范围与内容形式</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F2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提供灵活的问答范围设置，用户可在单一文档、主题或跨主题间进行问答，支持文字、图片等多种问题形式，适用于多种知识查询场景。</w:t>
            </w:r>
          </w:p>
        </w:tc>
      </w:tr>
      <w:tr w14:paraId="734D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4B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3299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AF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答案参考与知识溯源</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00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问答结果中可展示参考内容，如文本块、图片和表格，并可直接跳转至原文档，帮助用户快速验证信息来源，增强知识溯源能力。</w:t>
            </w:r>
          </w:p>
        </w:tc>
      </w:tr>
      <w:tr w14:paraId="72C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67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7B48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80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对话界面与接口集成</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97F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提供友好的对话界面，支持上下文追溯、问答记录保存及个性化设置，系统兼容OpenAI接口，方便集成到第三方平台，提升系统扩展性。</w:t>
            </w:r>
          </w:p>
        </w:tc>
      </w:tr>
      <w:tr w14:paraId="5AC3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94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D4A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知识存储与检索管理</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6D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向量数据存储</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6D3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将处理后的知识向量（如标题、段落、摘要、图片等）存储在内置向量数据库中，便于快速召回相关知识，提升系统响应速度和准确性。</w:t>
            </w:r>
          </w:p>
        </w:tc>
      </w:tr>
      <w:tr w14:paraId="4589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34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C307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D6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全文检索存储</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294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支持将文档全文内容存储至全文检索库，包含标题、段落、图片和表格等，确保用户能够全面检索和快速定位所需信息。</w:t>
            </w:r>
          </w:p>
        </w:tc>
      </w:tr>
      <w:tr w14:paraId="354B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2A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24BB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B8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关系型数据存储</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AA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系统可将主题、文件、图片等元数据存储在关系型数据库中，方便数据的结构化管理和查询，提升数据管理效率。</w:t>
            </w:r>
          </w:p>
        </w:tc>
      </w:tr>
    </w:tbl>
    <w:p w14:paraId="258B22F5">
      <w:pPr>
        <w:rPr>
          <w:rFonts w:hint="eastAsia"/>
          <w:color w:val="auto"/>
        </w:rPr>
      </w:pPr>
    </w:p>
    <w:p w14:paraId="614381F8">
      <w:pPr>
        <w:pStyle w:val="4"/>
        <w:pageBreakBefore w:val="0"/>
        <w:tabs>
          <w:tab w:val="left" w:pos="0"/>
        </w:tabs>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模型部署服务</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7"/>
        <w:gridCol w:w="1084"/>
        <w:gridCol w:w="1711"/>
        <w:gridCol w:w="5137"/>
      </w:tblGrid>
      <w:tr w14:paraId="124BB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5E98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其他系统服务</w:t>
            </w:r>
          </w:p>
        </w:tc>
      </w:tr>
      <w:tr w14:paraId="034AC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4F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36" w:type="pct"/>
            <w:vMerge w:val="restart"/>
            <w:tcBorders>
              <w:top w:val="nil"/>
              <w:left w:val="single" w:color="000000" w:sz="4" w:space="0"/>
              <w:bottom w:val="single" w:color="000000" w:sz="4" w:space="0"/>
              <w:right w:val="single" w:color="000000" w:sz="4" w:space="0"/>
            </w:tcBorders>
            <w:shd w:val="clear" w:color="auto" w:fill="auto"/>
            <w:noWrap/>
            <w:vAlign w:val="center"/>
          </w:tcPr>
          <w:p w14:paraId="228EA7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其他要求</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C1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模型部署</w:t>
            </w:r>
          </w:p>
        </w:tc>
        <w:tc>
          <w:tcPr>
            <w:tcW w:w="3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C4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1、多元推理大模型：在知识问答、数据问答场景，需要调用本地部署的deepseek或千问大模型，支持不少于32B模型，配置要求如下：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服务器  x86服务器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操作系统 支持ubuntu22.04或 oracllinux8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CPU &gt;= 10core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内存 &gt;= 64GB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存储 &gt;= 4TB（裸容量）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GPU 独立图形处理器，显存容量≥48GB，支持CUDA并行计算架构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不少于 1个2.5G网络接口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不少于 2个Wi-Fi 6天线接口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外设接口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不少于 4个USB 2.0接口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不少于 2个USB 3.2 Gen 1 Type-A接口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2、在构建数据分析报告场景，需要对数据进行初步汇总后，调用在线deepseek推理大模型实现报告生成，提供2万的token流量包；</w:t>
            </w:r>
          </w:p>
        </w:tc>
      </w:tr>
      <w:tr w14:paraId="19D5D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2A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36"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51289E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21"/>
                <w:szCs w:val="21"/>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A2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系统运维</w:t>
            </w:r>
          </w:p>
        </w:tc>
        <w:tc>
          <w:tcPr>
            <w:tcW w:w="3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F5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提供日常运维、故常排除、使用答疑、系统培训、接口对接服务，确保应用的平稳运行</w:t>
            </w:r>
          </w:p>
        </w:tc>
      </w:tr>
    </w:tbl>
    <w:p w14:paraId="75FE7E94">
      <w:pPr>
        <w:pageBreakBefore w:val="0"/>
        <w:kinsoku/>
        <w:wordWrap/>
        <w:overflowPunct/>
        <w:topLinePunct w:val="0"/>
        <w:autoSpaceDE/>
        <w:autoSpaceDN/>
        <w:bidi w:val="0"/>
        <w:adjustRightInd w:val="0"/>
        <w:snapToGrid w:val="0"/>
        <w:spacing w:beforeAutospacing="0" w:afterAutospacing="0" w:line="360" w:lineRule="auto"/>
        <w:textAlignment w:val="auto"/>
        <w:rPr>
          <w:rFonts w:hint="default" w:ascii="宋体" w:hAnsi="宋体" w:eastAsia="宋体" w:cs="宋体"/>
          <w:color w:val="auto"/>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FAA37"/>
    <w:multiLevelType w:val="singleLevel"/>
    <w:tmpl w:val="95FFAA37"/>
    <w:lvl w:ilvl="0" w:tentative="0">
      <w:start w:val="1"/>
      <w:numFmt w:val="decimal"/>
      <w:lvlText w:val="%1."/>
      <w:lvlJc w:val="left"/>
      <w:pPr>
        <w:tabs>
          <w:tab w:val="left" w:pos="420"/>
        </w:tabs>
        <w:ind w:left="845" w:hanging="425"/>
      </w:pPr>
      <w:rPr>
        <w:rFonts w:hint="default"/>
      </w:rPr>
    </w:lvl>
  </w:abstractNum>
  <w:abstractNum w:abstractNumId="1">
    <w:nsid w:val="A09A09AF"/>
    <w:multiLevelType w:val="singleLevel"/>
    <w:tmpl w:val="A09A09AF"/>
    <w:lvl w:ilvl="0" w:tentative="0">
      <w:start w:val="1"/>
      <w:numFmt w:val="decimal"/>
      <w:lvlText w:val="%1."/>
      <w:lvlJc w:val="left"/>
      <w:pPr>
        <w:tabs>
          <w:tab w:val="left" w:pos="312"/>
        </w:tabs>
      </w:pPr>
    </w:lvl>
  </w:abstractNum>
  <w:abstractNum w:abstractNumId="2">
    <w:nsid w:val="A864D918"/>
    <w:multiLevelType w:val="singleLevel"/>
    <w:tmpl w:val="A864D918"/>
    <w:lvl w:ilvl="0" w:tentative="0">
      <w:start w:val="3"/>
      <w:numFmt w:val="decimal"/>
      <w:lvlText w:val="%1."/>
      <w:lvlJc w:val="left"/>
      <w:pPr>
        <w:tabs>
          <w:tab w:val="left" w:pos="312"/>
        </w:tabs>
      </w:pPr>
    </w:lvl>
  </w:abstractNum>
  <w:abstractNum w:abstractNumId="3">
    <w:nsid w:val="B77F7D67"/>
    <w:multiLevelType w:val="singleLevel"/>
    <w:tmpl w:val="B77F7D67"/>
    <w:lvl w:ilvl="0" w:tentative="0">
      <w:start w:val="1"/>
      <w:numFmt w:val="bullet"/>
      <w:lvlText w:val=""/>
      <w:lvlJc w:val="left"/>
      <w:pPr>
        <w:tabs>
          <w:tab w:val="left" w:pos="420"/>
        </w:tabs>
        <w:ind w:left="840" w:hanging="420"/>
      </w:pPr>
      <w:rPr>
        <w:rFonts w:hint="default" w:ascii="Wingdings" w:hAnsi="Wingdings"/>
      </w:rPr>
    </w:lvl>
  </w:abstractNum>
  <w:abstractNum w:abstractNumId="4">
    <w:nsid w:val="B9F7C5DD"/>
    <w:multiLevelType w:val="singleLevel"/>
    <w:tmpl w:val="B9F7C5DD"/>
    <w:lvl w:ilvl="0" w:tentative="0">
      <w:start w:val="1"/>
      <w:numFmt w:val="decimal"/>
      <w:lvlText w:val="%1."/>
      <w:lvlJc w:val="left"/>
      <w:pPr>
        <w:tabs>
          <w:tab w:val="left" w:pos="420"/>
        </w:tabs>
        <w:ind w:left="845" w:hanging="425"/>
      </w:pPr>
      <w:rPr>
        <w:rFonts w:hint="default"/>
      </w:rPr>
    </w:lvl>
  </w:abstractNum>
  <w:abstractNum w:abstractNumId="5">
    <w:nsid w:val="C988FA70"/>
    <w:multiLevelType w:val="singleLevel"/>
    <w:tmpl w:val="C988FA70"/>
    <w:lvl w:ilvl="0" w:tentative="0">
      <w:start w:val="1"/>
      <w:numFmt w:val="decimal"/>
      <w:lvlText w:val="%1."/>
      <w:lvlJc w:val="left"/>
      <w:pPr>
        <w:tabs>
          <w:tab w:val="left" w:pos="420"/>
        </w:tabs>
        <w:ind w:left="845" w:hanging="425"/>
      </w:pPr>
      <w:rPr>
        <w:rFonts w:hint="default"/>
      </w:rPr>
    </w:lvl>
  </w:abstractNum>
  <w:abstractNum w:abstractNumId="6">
    <w:nsid w:val="D1EE935C"/>
    <w:multiLevelType w:val="singleLevel"/>
    <w:tmpl w:val="D1EE935C"/>
    <w:lvl w:ilvl="0" w:tentative="0">
      <w:start w:val="1"/>
      <w:numFmt w:val="decimal"/>
      <w:suff w:val="nothing"/>
      <w:lvlText w:val="%1、"/>
      <w:lvlJc w:val="left"/>
    </w:lvl>
  </w:abstractNum>
  <w:abstractNum w:abstractNumId="7">
    <w:nsid w:val="DFCA10DC"/>
    <w:multiLevelType w:val="singleLevel"/>
    <w:tmpl w:val="DFCA10DC"/>
    <w:lvl w:ilvl="0" w:tentative="0">
      <w:start w:val="1"/>
      <w:numFmt w:val="decimal"/>
      <w:lvlText w:val="%1."/>
      <w:lvlJc w:val="left"/>
      <w:pPr>
        <w:tabs>
          <w:tab w:val="left" w:pos="420"/>
        </w:tabs>
        <w:ind w:left="845" w:hanging="425"/>
      </w:pPr>
      <w:rPr>
        <w:rFonts w:hint="default"/>
      </w:rPr>
    </w:lvl>
  </w:abstractNum>
  <w:abstractNum w:abstractNumId="8">
    <w:nsid w:val="E9FE575C"/>
    <w:multiLevelType w:val="singleLevel"/>
    <w:tmpl w:val="E9FE575C"/>
    <w:lvl w:ilvl="0" w:tentative="0">
      <w:start w:val="1"/>
      <w:numFmt w:val="bullet"/>
      <w:lvlText w:val=""/>
      <w:lvlJc w:val="left"/>
      <w:pPr>
        <w:tabs>
          <w:tab w:val="left" w:pos="420"/>
        </w:tabs>
        <w:ind w:left="840" w:hanging="420"/>
      </w:pPr>
      <w:rPr>
        <w:rFonts w:hint="default" w:ascii="Wingdings" w:hAnsi="Wingdings"/>
      </w:rPr>
    </w:lvl>
  </w:abstractNum>
  <w:abstractNum w:abstractNumId="9">
    <w:nsid w:val="EDFFBFE7"/>
    <w:multiLevelType w:val="singleLevel"/>
    <w:tmpl w:val="EDFFBFE7"/>
    <w:lvl w:ilvl="0" w:tentative="0">
      <w:start w:val="1"/>
      <w:numFmt w:val="bullet"/>
      <w:lvlText w:val=""/>
      <w:lvlJc w:val="left"/>
      <w:pPr>
        <w:tabs>
          <w:tab w:val="left" w:pos="420"/>
        </w:tabs>
        <w:ind w:left="840" w:hanging="420"/>
      </w:pPr>
      <w:rPr>
        <w:rFonts w:hint="default" w:ascii="Wingdings" w:hAnsi="Wingdings"/>
      </w:rPr>
    </w:lvl>
  </w:abstractNum>
  <w:abstractNum w:abstractNumId="10">
    <w:nsid w:val="EECF3CB7"/>
    <w:multiLevelType w:val="singleLevel"/>
    <w:tmpl w:val="EECF3CB7"/>
    <w:lvl w:ilvl="0" w:tentative="0">
      <w:start w:val="1"/>
      <w:numFmt w:val="decimal"/>
      <w:lvlText w:val="%1."/>
      <w:lvlJc w:val="left"/>
      <w:pPr>
        <w:tabs>
          <w:tab w:val="left" w:pos="420"/>
        </w:tabs>
        <w:ind w:left="845" w:hanging="425"/>
      </w:pPr>
      <w:rPr>
        <w:rFonts w:hint="default"/>
      </w:rPr>
    </w:lvl>
  </w:abstractNum>
  <w:abstractNum w:abstractNumId="11">
    <w:nsid w:val="EF3ABB57"/>
    <w:multiLevelType w:val="singleLevel"/>
    <w:tmpl w:val="EF3ABB57"/>
    <w:lvl w:ilvl="0" w:tentative="0">
      <w:start w:val="1"/>
      <w:numFmt w:val="decimal"/>
      <w:lvlText w:val="%1."/>
      <w:lvlJc w:val="left"/>
      <w:pPr>
        <w:tabs>
          <w:tab w:val="left" w:pos="420"/>
        </w:tabs>
        <w:ind w:left="845" w:hanging="425"/>
      </w:pPr>
      <w:rPr>
        <w:rFonts w:hint="default"/>
      </w:rPr>
    </w:lvl>
  </w:abstractNum>
  <w:abstractNum w:abstractNumId="12">
    <w:nsid w:val="F3FF4C96"/>
    <w:multiLevelType w:val="singleLevel"/>
    <w:tmpl w:val="F3FF4C96"/>
    <w:lvl w:ilvl="0" w:tentative="0">
      <w:start w:val="1"/>
      <w:numFmt w:val="bullet"/>
      <w:lvlText w:val=""/>
      <w:lvlJc w:val="left"/>
      <w:pPr>
        <w:tabs>
          <w:tab w:val="left" w:pos="420"/>
        </w:tabs>
        <w:ind w:left="840" w:hanging="420"/>
      </w:pPr>
      <w:rPr>
        <w:rFonts w:hint="default" w:ascii="Wingdings" w:hAnsi="Wingdings"/>
      </w:rPr>
    </w:lvl>
  </w:abstractNum>
  <w:abstractNum w:abstractNumId="13">
    <w:nsid w:val="F7FB6093"/>
    <w:multiLevelType w:val="singleLevel"/>
    <w:tmpl w:val="F7FB6093"/>
    <w:lvl w:ilvl="0" w:tentative="0">
      <w:start w:val="1"/>
      <w:numFmt w:val="bullet"/>
      <w:lvlText w:val=""/>
      <w:lvlJc w:val="left"/>
      <w:pPr>
        <w:tabs>
          <w:tab w:val="left" w:pos="420"/>
        </w:tabs>
        <w:ind w:left="840" w:hanging="420"/>
      </w:pPr>
      <w:rPr>
        <w:rFonts w:hint="default" w:ascii="Wingdings" w:hAnsi="Wingdings"/>
      </w:rPr>
    </w:lvl>
  </w:abstractNum>
  <w:abstractNum w:abstractNumId="14">
    <w:nsid w:val="FBFF1201"/>
    <w:multiLevelType w:val="singleLevel"/>
    <w:tmpl w:val="FBFF1201"/>
    <w:lvl w:ilvl="0" w:tentative="0">
      <w:start w:val="1"/>
      <w:numFmt w:val="decimal"/>
      <w:lvlText w:val="%1."/>
      <w:lvlJc w:val="left"/>
      <w:pPr>
        <w:tabs>
          <w:tab w:val="left" w:pos="420"/>
        </w:tabs>
        <w:ind w:left="845" w:hanging="425"/>
      </w:pPr>
      <w:rPr>
        <w:rFonts w:hint="default"/>
      </w:rPr>
    </w:lvl>
  </w:abstractNum>
  <w:abstractNum w:abstractNumId="15">
    <w:nsid w:val="FF7C4370"/>
    <w:multiLevelType w:val="singleLevel"/>
    <w:tmpl w:val="FF7C4370"/>
    <w:lvl w:ilvl="0" w:tentative="0">
      <w:start w:val="1"/>
      <w:numFmt w:val="bullet"/>
      <w:lvlText w:val=""/>
      <w:lvlJc w:val="left"/>
      <w:pPr>
        <w:tabs>
          <w:tab w:val="left" w:pos="840"/>
        </w:tabs>
        <w:ind w:left="1260" w:hanging="420"/>
      </w:pPr>
      <w:rPr>
        <w:rFonts w:hint="default" w:ascii="Wingdings" w:hAnsi="Wingdings"/>
      </w:rPr>
    </w:lvl>
  </w:abstractNum>
  <w:abstractNum w:abstractNumId="16">
    <w:nsid w:val="FFFA6320"/>
    <w:multiLevelType w:val="singleLevel"/>
    <w:tmpl w:val="FFFA6320"/>
    <w:lvl w:ilvl="0" w:tentative="0">
      <w:start w:val="1"/>
      <w:numFmt w:val="bullet"/>
      <w:lvlText w:val=""/>
      <w:lvlJc w:val="left"/>
      <w:pPr>
        <w:tabs>
          <w:tab w:val="left" w:pos="840"/>
        </w:tabs>
        <w:ind w:left="1260" w:hanging="420"/>
      </w:pPr>
      <w:rPr>
        <w:rFonts w:hint="default" w:ascii="Wingdings" w:hAnsi="Wingdings"/>
      </w:rPr>
    </w:lvl>
  </w:abstractNum>
  <w:abstractNum w:abstractNumId="17">
    <w:nsid w:val="62CE1875"/>
    <w:multiLevelType w:val="multilevel"/>
    <w:tmpl w:val="62CE1875"/>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3"/>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8">
    <w:nsid w:val="6DBAE429"/>
    <w:multiLevelType w:val="singleLevel"/>
    <w:tmpl w:val="6DBAE429"/>
    <w:lvl w:ilvl="0" w:tentative="0">
      <w:start w:val="1"/>
      <w:numFmt w:val="decimal"/>
      <w:suff w:val="nothing"/>
      <w:lvlText w:val="%1、"/>
      <w:lvlJc w:val="left"/>
    </w:lvl>
  </w:abstractNum>
  <w:abstractNum w:abstractNumId="19">
    <w:nsid w:val="7FCAD751"/>
    <w:multiLevelType w:val="singleLevel"/>
    <w:tmpl w:val="7FCAD751"/>
    <w:lvl w:ilvl="0" w:tentative="0">
      <w:start w:val="1"/>
      <w:numFmt w:val="decimal"/>
      <w:lvlText w:val="(%1)"/>
      <w:lvlJc w:val="left"/>
      <w:pPr>
        <w:tabs>
          <w:tab w:val="left" w:pos="420"/>
        </w:tabs>
        <w:ind w:left="845" w:hanging="425"/>
      </w:pPr>
      <w:rPr>
        <w:rFonts w:hint="default"/>
      </w:rPr>
    </w:lvl>
  </w:abstractNum>
  <w:num w:numId="1">
    <w:abstractNumId w:val="17"/>
  </w:num>
  <w:num w:numId="2">
    <w:abstractNumId w:val="19"/>
  </w:num>
  <w:num w:numId="3">
    <w:abstractNumId w:val="9"/>
  </w:num>
  <w:num w:numId="4">
    <w:abstractNumId w:val="8"/>
  </w:num>
  <w:num w:numId="5">
    <w:abstractNumId w:val="13"/>
  </w:num>
  <w:num w:numId="6">
    <w:abstractNumId w:val="12"/>
  </w:num>
  <w:num w:numId="7">
    <w:abstractNumId w:val="3"/>
  </w:num>
  <w:num w:numId="8">
    <w:abstractNumId w:val="16"/>
  </w:num>
  <w:num w:numId="9">
    <w:abstractNumId w:val="10"/>
  </w:num>
  <w:num w:numId="10">
    <w:abstractNumId w:val="7"/>
  </w:num>
  <w:num w:numId="11">
    <w:abstractNumId w:val="15"/>
  </w:num>
  <w:num w:numId="12">
    <w:abstractNumId w:val="14"/>
  </w:num>
  <w:num w:numId="13">
    <w:abstractNumId w:val="4"/>
  </w:num>
  <w:num w:numId="14">
    <w:abstractNumId w:val="0"/>
  </w:num>
  <w:num w:numId="15">
    <w:abstractNumId w:val="11"/>
  </w:num>
  <w:num w:numId="16">
    <w:abstractNumId w:val="5"/>
  </w:num>
  <w:num w:numId="17">
    <w:abstractNumId w:val="6"/>
  </w:num>
  <w:num w:numId="18">
    <w:abstractNumId w:val="18"/>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E33A4"/>
    <w:rsid w:val="00522102"/>
    <w:rsid w:val="01172A03"/>
    <w:rsid w:val="012313A8"/>
    <w:rsid w:val="015C48BA"/>
    <w:rsid w:val="0241242E"/>
    <w:rsid w:val="02CB619B"/>
    <w:rsid w:val="0328714A"/>
    <w:rsid w:val="063876A4"/>
    <w:rsid w:val="071F0864"/>
    <w:rsid w:val="07FD6DF7"/>
    <w:rsid w:val="088E5CA1"/>
    <w:rsid w:val="09074BEB"/>
    <w:rsid w:val="093D3223"/>
    <w:rsid w:val="09A6701A"/>
    <w:rsid w:val="09E3201C"/>
    <w:rsid w:val="0A00497C"/>
    <w:rsid w:val="0AFA13CC"/>
    <w:rsid w:val="0B3B792A"/>
    <w:rsid w:val="0C871385"/>
    <w:rsid w:val="0CA21D1B"/>
    <w:rsid w:val="0CC46135"/>
    <w:rsid w:val="0D470B14"/>
    <w:rsid w:val="0DD028B8"/>
    <w:rsid w:val="0DF3576E"/>
    <w:rsid w:val="0ED73622"/>
    <w:rsid w:val="10817E99"/>
    <w:rsid w:val="10F66AD9"/>
    <w:rsid w:val="113849FC"/>
    <w:rsid w:val="11422945"/>
    <w:rsid w:val="119D207C"/>
    <w:rsid w:val="12CA3D79"/>
    <w:rsid w:val="13280AA0"/>
    <w:rsid w:val="13693592"/>
    <w:rsid w:val="147A357D"/>
    <w:rsid w:val="14EF7AC7"/>
    <w:rsid w:val="15051E29"/>
    <w:rsid w:val="158C5316"/>
    <w:rsid w:val="15A5287C"/>
    <w:rsid w:val="17710C68"/>
    <w:rsid w:val="189866C8"/>
    <w:rsid w:val="189F35B2"/>
    <w:rsid w:val="18AF5EEB"/>
    <w:rsid w:val="194F4FBD"/>
    <w:rsid w:val="196B7938"/>
    <w:rsid w:val="198E76D2"/>
    <w:rsid w:val="19FB2A6A"/>
    <w:rsid w:val="1A1D50D7"/>
    <w:rsid w:val="1A2F6BB8"/>
    <w:rsid w:val="1A50725A"/>
    <w:rsid w:val="1B0D0CA7"/>
    <w:rsid w:val="1B4A3CA9"/>
    <w:rsid w:val="1FC97167"/>
    <w:rsid w:val="20B350F3"/>
    <w:rsid w:val="20C95B2A"/>
    <w:rsid w:val="22EF5136"/>
    <w:rsid w:val="231E732C"/>
    <w:rsid w:val="236C62BC"/>
    <w:rsid w:val="23D902C0"/>
    <w:rsid w:val="23E822B1"/>
    <w:rsid w:val="242F6132"/>
    <w:rsid w:val="246226A7"/>
    <w:rsid w:val="24E53415"/>
    <w:rsid w:val="251B0465"/>
    <w:rsid w:val="263A2B6C"/>
    <w:rsid w:val="264F5D88"/>
    <w:rsid w:val="26E90DAE"/>
    <w:rsid w:val="277D71B5"/>
    <w:rsid w:val="282B09BF"/>
    <w:rsid w:val="290F6532"/>
    <w:rsid w:val="29127DD1"/>
    <w:rsid w:val="292D69B8"/>
    <w:rsid w:val="294E3795"/>
    <w:rsid w:val="2A97F37F"/>
    <w:rsid w:val="2ACA2711"/>
    <w:rsid w:val="2B990335"/>
    <w:rsid w:val="2B9E594C"/>
    <w:rsid w:val="2BC5737C"/>
    <w:rsid w:val="2C0F23A5"/>
    <w:rsid w:val="2C251BC9"/>
    <w:rsid w:val="2CF03F85"/>
    <w:rsid w:val="2D4367AA"/>
    <w:rsid w:val="2D6B7AAF"/>
    <w:rsid w:val="2DDB4C35"/>
    <w:rsid w:val="2F087CAC"/>
    <w:rsid w:val="2FCF51F3"/>
    <w:rsid w:val="2FED2C6B"/>
    <w:rsid w:val="304A60A2"/>
    <w:rsid w:val="30581E72"/>
    <w:rsid w:val="311C17EC"/>
    <w:rsid w:val="318F2681"/>
    <w:rsid w:val="32F5CD8A"/>
    <w:rsid w:val="33CA19D4"/>
    <w:rsid w:val="33DB19ED"/>
    <w:rsid w:val="343B467F"/>
    <w:rsid w:val="349D2C44"/>
    <w:rsid w:val="352D221A"/>
    <w:rsid w:val="35EECB78"/>
    <w:rsid w:val="35FC1BEC"/>
    <w:rsid w:val="36863959"/>
    <w:rsid w:val="39783C80"/>
    <w:rsid w:val="3A5E69D2"/>
    <w:rsid w:val="3B07350D"/>
    <w:rsid w:val="3C862210"/>
    <w:rsid w:val="3C964B49"/>
    <w:rsid w:val="3D4372D7"/>
    <w:rsid w:val="3D586BC1"/>
    <w:rsid w:val="3DB42DAD"/>
    <w:rsid w:val="3DE73182"/>
    <w:rsid w:val="3E3D0FF4"/>
    <w:rsid w:val="3E7A2248"/>
    <w:rsid w:val="3EB76FF8"/>
    <w:rsid w:val="3F714A27"/>
    <w:rsid w:val="3FB7CB2E"/>
    <w:rsid w:val="4093314D"/>
    <w:rsid w:val="40980764"/>
    <w:rsid w:val="40F260C6"/>
    <w:rsid w:val="41BD0482"/>
    <w:rsid w:val="439B47F3"/>
    <w:rsid w:val="45486BFC"/>
    <w:rsid w:val="459C4852"/>
    <w:rsid w:val="464C0026"/>
    <w:rsid w:val="465A0995"/>
    <w:rsid w:val="466E2692"/>
    <w:rsid w:val="46BD1172"/>
    <w:rsid w:val="4723347D"/>
    <w:rsid w:val="47C562E2"/>
    <w:rsid w:val="47D74267"/>
    <w:rsid w:val="481B05F8"/>
    <w:rsid w:val="48D34A2F"/>
    <w:rsid w:val="49CA4084"/>
    <w:rsid w:val="4ADF590D"/>
    <w:rsid w:val="4BA343DA"/>
    <w:rsid w:val="4BFBE89E"/>
    <w:rsid w:val="4C2A2BB8"/>
    <w:rsid w:val="4CDD7C2A"/>
    <w:rsid w:val="4D9329DF"/>
    <w:rsid w:val="4E6F6FA8"/>
    <w:rsid w:val="4F075432"/>
    <w:rsid w:val="4F317FD9"/>
    <w:rsid w:val="50C8299F"/>
    <w:rsid w:val="50FE2865"/>
    <w:rsid w:val="519F5DF6"/>
    <w:rsid w:val="52554706"/>
    <w:rsid w:val="527B23BF"/>
    <w:rsid w:val="535D74F4"/>
    <w:rsid w:val="550A17D8"/>
    <w:rsid w:val="552F56E3"/>
    <w:rsid w:val="56C854A7"/>
    <w:rsid w:val="56CB143B"/>
    <w:rsid w:val="57A75A04"/>
    <w:rsid w:val="57C739B1"/>
    <w:rsid w:val="582C415B"/>
    <w:rsid w:val="58E6430A"/>
    <w:rsid w:val="59396B30"/>
    <w:rsid w:val="59967ADE"/>
    <w:rsid w:val="5B082339"/>
    <w:rsid w:val="5B303F63"/>
    <w:rsid w:val="5B6D486F"/>
    <w:rsid w:val="5B8D4F11"/>
    <w:rsid w:val="5C4C26D6"/>
    <w:rsid w:val="5C621EFA"/>
    <w:rsid w:val="5DF23751"/>
    <w:rsid w:val="5DF41277"/>
    <w:rsid w:val="5E1C432A"/>
    <w:rsid w:val="5EAF14D6"/>
    <w:rsid w:val="5EF6AB78"/>
    <w:rsid w:val="5F131BD1"/>
    <w:rsid w:val="5F2636B2"/>
    <w:rsid w:val="5F6660F3"/>
    <w:rsid w:val="5FCF4F51"/>
    <w:rsid w:val="5FE62E42"/>
    <w:rsid w:val="60455DBA"/>
    <w:rsid w:val="60FB46CB"/>
    <w:rsid w:val="617701F5"/>
    <w:rsid w:val="624502F4"/>
    <w:rsid w:val="642E285A"/>
    <w:rsid w:val="647C3D75"/>
    <w:rsid w:val="64EC4A56"/>
    <w:rsid w:val="65FF07B9"/>
    <w:rsid w:val="68E30A64"/>
    <w:rsid w:val="691E189E"/>
    <w:rsid w:val="69552B37"/>
    <w:rsid w:val="6996483B"/>
    <w:rsid w:val="699658D9"/>
    <w:rsid w:val="6AEA7C8A"/>
    <w:rsid w:val="6B855C05"/>
    <w:rsid w:val="6BA77929"/>
    <w:rsid w:val="6C5A2BED"/>
    <w:rsid w:val="6C7583D5"/>
    <w:rsid w:val="6CA53B15"/>
    <w:rsid w:val="6D7C51B9"/>
    <w:rsid w:val="6DBB590E"/>
    <w:rsid w:val="6E166FE8"/>
    <w:rsid w:val="6E7F693B"/>
    <w:rsid w:val="6E8201DA"/>
    <w:rsid w:val="6ECD58F9"/>
    <w:rsid w:val="6F3C65DA"/>
    <w:rsid w:val="6FFFE11D"/>
    <w:rsid w:val="71ED28F2"/>
    <w:rsid w:val="72DB435C"/>
    <w:rsid w:val="73FB68DB"/>
    <w:rsid w:val="74054EF0"/>
    <w:rsid w:val="75375318"/>
    <w:rsid w:val="757C0B81"/>
    <w:rsid w:val="75BC0475"/>
    <w:rsid w:val="75D752AF"/>
    <w:rsid w:val="76BFC6B8"/>
    <w:rsid w:val="776668EA"/>
    <w:rsid w:val="778E6350"/>
    <w:rsid w:val="77B93E5B"/>
    <w:rsid w:val="782D7408"/>
    <w:rsid w:val="7863057D"/>
    <w:rsid w:val="793B3DA7"/>
    <w:rsid w:val="79690914"/>
    <w:rsid w:val="797846B3"/>
    <w:rsid w:val="79E32474"/>
    <w:rsid w:val="7BF7B7BB"/>
    <w:rsid w:val="7C547659"/>
    <w:rsid w:val="7D0D0F40"/>
    <w:rsid w:val="7D697A7E"/>
    <w:rsid w:val="7DDEF319"/>
    <w:rsid w:val="7DE467BB"/>
    <w:rsid w:val="7E17093E"/>
    <w:rsid w:val="7E7E78FE"/>
    <w:rsid w:val="7ECE33A4"/>
    <w:rsid w:val="7F9F691A"/>
    <w:rsid w:val="7FDEB634"/>
    <w:rsid w:val="7FF12692"/>
    <w:rsid w:val="7FFF4787"/>
    <w:rsid w:val="7FFFDE58"/>
    <w:rsid w:val="9D1DCBFA"/>
    <w:rsid w:val="9D9DE210"/>
    <w:rsid w:val="ABEFA909"/>
    <w:rsid w:val="B57F01CA"/>
    <w:rsid w:val="B9671BF2"/>
    <w:rsid w:val="BBDBC2A7"/>
    <w:rsid w:val="BDF606E4"/>
    <w:rsid w:val="BF79862C"/>
    <w:rsid w:val="C6FFCFE1"/>
    <w:rsid w:val="CBE8B04A"/>
    <w:rsid w:val="CF25230F"/>
    <w:rsid w:val="EF5FF5DE"/>
    <w:rsid w:val="EFCF54EE"/>
    <w:rsid w:val="EFF9AD04"/>
    <w:rsid w:val="F77EC392"/>
    <w:rsid w:val="FB59377B"/>
    <w:rsid w:val="FE7B12E9"/>
    <w:rsid w:val="FFBCAC0D"/>
    <w:rsid w:val="FFD41F12"/>
    <w:rsid w:val="FFE6ACB5"/>
    <w:rsid w:val="FFEF2C69"/>
    <w:rsid w:val="FFFEF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tabs>
        <w:tab w:val="left" w:pos="0"/>
        <w:tab w:val="left" w:pos="426"/>
      </w:tabs>
      <w:spacing w:before="340" w:after="340"/>
      <w:outlineLvl w:val="0"/>
    </w:pPr>
    <w:rPr>
      <w:kern w:val="44"/>
      <w:sz w:val="28"/>
    </w:rPr>
  </w:style>
  <w:style w:type="paragraph" w:styleId="4">
    <w:name w:val="heading 2"/>
    <w:basedOn w:val="1"/>
    <w:next w:val="1"/>
    <w:unhideWhenUsed/>
    <w:qFormat/>
    <w:uiPriority w:val="0"/>
    <w:pPr>
      <w:keepNext/>
      <w:keepLines/>
      <w:numPr>
        <w:ilvl w:val="1"/>
        <w:numId w:val="1"/>
      </w:numPr>
      <w:spacing w:before="200" w:after="200"/>
      <w:outlineLvl w:val="1"/>
    </w:pPr>
    <w:rPr>
      <w:b/>
    </w:rPr>
  </w:style>
  <w:style w:type="paragraph" w:styleId="3">
    <w:name w:val="heading 3"/>
    <w:basedOn w:val="1"/>
    <w:next w:val="1"/>
    <w:unhideWhenUsed/>
    <w:qFormat/>
    <w:uiPriority w:val="0"/>
    <w:pPr>
      <w:keepNext/>
      <w:keepLines/>
      <w:numPr>
        <w:ilvl w:val="2"/>
        <w:numId w:val="1"/>
      </w:numPr>
      <w:spacing w:before="100" w:after="100"/>
      <w:outlineLvl w:val="2"/>
    </w:pPr>
    <w:rPr>
      <w:rFonts w:eastAsia="华文宋体"/>
      <w:b/>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font41"/>
    <w:basedOn w:val="8"/>
    <w:qFormat/>
    <w:uiPriority w:val="0"/>
    <w:rPr>
      <w:rFonts w:hint="default" w:ascii="仿宋" w:hAnsi="仿宋" w:eastAsia="仿宋" w:cs="仿宋"/>
      <w:color w:val="000000"/>
      <w:sz w:val="24"/>
      <w:szCs w:val="24"/>
      <w:u w:val="none"/>
    </w:rPr>
  </w:style>
  <w:style w:type="character" w:customStyle="1" w:styleId="11">
    <w:name w:val="font51"/>
    <w:basedOn w:val="8"/>
    <w:qFormat/>
    <w:uiPriority w:val="0"/>
    <w:rPr>
      <w:rFonts w:hint="default" w:ascii="仿宋" w:hAnsi="仿宋" w:eastAsia="仿宋" w:cs="仿宋"/>
      <w:color w:val="FF0000"/>
      <w:sz w:val="24"/>
      <w:szCs w:val="24"/>
      <w:u w:val="none"/>
    </w:rPr>
  </w:style>
  <w:style w:type="character" w:customStyle="1" w:styleId="12">
    <w:name w:val="font31"/>
    <w:basedOn w:val="8"/>
    <w:qFormat/>
    <w:uiPriority w:val="0"/>
    <w:rPr>
      <w:rFonts w:hint="eastAsia" w:ascii="宋体" w:hAnsi="宋体" w:eastAsia="宋体" w:cs="宋体"/>
      <w:color w:val="000000"/>
      <w:sz w:val="24"/>
      <w:szCs w:val="24"/>
      <w:u w:val="none"/>
    </w:rPr>
  </w:style>
  <w:style w:type="character" w:customStyle="1" w:styleId="13">
    <w:name w:val="font11"/>
    <w:basedOn w:val="8"/>
    <w:qFormat/>
    <w:uiPriority w:val="0"/>
    <w:rPr>
      <w:rFonts w:hint="eastAsia" w:ascii="宋体" w:hAnsi="宋体" w:eastAsia="宋体" w:cs="宋体"/>
      <w:b/>
      <w:bCs/>
      <w:color w:val="000000"/>
      <w:sz w:val="21"/>
      <w:szCs w:val="21"/>
      <w:u w:val="none"/>
    </w:rPr>
  </w:style>
  <w:style w:type="character" w:customStyle="1" w:styleId="14">
    <w:name w:val="font21"/>
    <w:basedOn w:val="8"/>
    <w:qFormat/>
    <w:uiPriority w:val="0"/>
    <w:rPr>
      <w:rFonts w:hint="eastAsia" w:ascii="宋体" w:hAnsi="宋体" w:eastAsia="宋体" w:cs="宋体"/>
      <w:color w:val="000000"/>
      <w:sz w:val="21"/>
      <w:szCs w:val="21"/>
      <w:u w:val="none"/>
    </w:rPr>
  </w:style>
  <w:style w:type="character" w:customStyle="1" w:styleId="15">
    <w:name w:val="font61"/>
    <w:basedOn w:val="8"/>
    <w:qFormat/>
    <w:uiPriority w:val="0"/>
    <w:rPr>
      <w:rFonts w:hint="eastAsia" w:ascii="宋体" w:hAnsi="宋体" w:eastAsia="宋体" w:cs="宋体"/>
      <w:b/>
      <w:bCs/>
      <w:color w:val="FF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6006</Words>
  <Characters>6063</Characters>
  <Lines>0</Lines>
  <Paragraphs>0</Paragraphs>
  <TotalTime>13</TotalTime>
  <ScaleCrop>false</ScaleCrop>
  <LinksUpToDate>false</LinksUpToDate>
  <CharactersWithSpaces>6081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2025-01-16T17:08:00Z</dcterms:created>
  <dc:creator>admin</dc:creator>
  <cp:lastModifiedBy>莫秋</cp:lastModifiedBy>
  <dcterms:modified xsi:type="dcterms:W3CDTF">2025-06-09T09:38:49Z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379D098228A04A24BE5EBFEE3EB8CECB_13</vt:lpwstr>
  </property>
  <property fmtid="{D5CDD505-2E9C-101B-9397-08002B2CF9AE}" pid="4" name="KSOTemplateDocerSaveRecord">
    <vt:lpwstr>eyJoZGlkIjoiY2Y3MzEyOGU5MzBjNDRjYmRiMDBlMDkwNTQ1ZjE3NzIiLCJ1c2VySWQiOiIxMTQwNjk1OTMwIn0=</vt:lpwstr>
  </property>
</Properties>
</file>