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F0C5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安徽商贸职业技术学院2</w:t>
      </w:r>
      <w:r>
        <w:rPr>
          <w:b/>
          <w:bCs/>
          <w:sz w:val="32"/>
          <w:szCs w:val="32"/>
        </w:rPr>
        <w:t>0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学年第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学期</w:t>
      </w:r>
    </w:p>
    <w:p w14:paraId="3A1BD546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X</w:t>
      </w:r>
      <w:r>
        <w:rPr>
          <w:b/>
          <w:bCs/>
          <w:sz w:val="28"/>
        </w:rPr>
        <w:t>XXX</w:t>
      </w:r>
      <w:r>
        <w:rPr>
          <w:rFonts w:hint="eastAsia"/>
          <w:b/>
          <w:bCs/>
          <w:sz w:val="28"/>
        </w:rPr>
        <w:t>学院（部）X</w:t>
      </w:r>
      <w:r>
        <w:rPr>
          <w:b/>
          <w:bCs/>
          <w:sz w:val="28"/>
        </w:rPr>
        <w:t>XXX</w:t>
      </w:r>
      <w:r>
        <w:rPr>
          <w:rFonts w:hint="eastAsia"/>
          <w:b/>
          <w:bCs/>
          <w:sz w:val="28"/>
        </w:rPr>
        <w:t>教研室活动计划（模板）</w:t>
      </w:r>
    </w:p>
    <w:p w14:paraId="266C4F93">
      <w:pPr>
        <w:pStyle w:val="14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一、总体规划</w:t>
      </w:r>
    </w:p>
    <w:p w14:paraId="4DBD6E5C">
      <w:pPr>
        <w:pStyle w:val="14"/>
        <w:spacing w:line="276" w:lineRule="auto"/>
        <w:ind w:firstLine="56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Cs/>
          <w:sz w:val="28"/>
        </w:rPr>
        <w:t>【围绕“职教本科建设”与新一轮“双高”计划</w:t>
      </w:r>
      <w:bookmarkStart w:id="0" w:name="_GoBack"/>
      <w:bookmarkEnd w:id="0"/>
      <w:r>
        <w:rPr>
          <w:rFonts w:hint="eastAsia" w:ascii="仿宋_GB2312" w:eastAsia="仿宋_GB2312"/>
          <w:bCs/>
          <w:sz w:val="28"/>
          <w:lang w:eastAsia="zh-CN"/>
        </w:rPr>
        <w:t>，</w:t>
      </w:r>
      <w:r>
        <w:rPr>
          <w:rFonts w:hint="eastAsia" w:ascii="仿宋_GB2312" w:eastAsia="仿宋_GB2312"/>
          <w:bCs/>
          <w:sz w:val="28"/>
        </w:rPr>
        <w:t>目标为强化基层教学组织作用，推动基本教学活动质量提升，打造优质团队，提升教师教学、教研能力，为本科层次职业教育办学做好思想、制度与队伍准备。】</w:t>
      </w:r>
    </w:p>
    <w:p w14:paraId="192BAE1E">
      <w:pPr>
        <w:pStyle w:val="14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二、重点工作</w:t>
      </w:r>
    </w:p>
    <w:p w14:paraId="0E22E62A">
      <w:pPr>
        <w:pStyle w:val="14"/>
        <w:spacing w:line="276" w:lineRule="auto"/>
        <w:ind w:firstLine="56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【结合学校、院（部）和教研室发展规划，梳理本学期重点工作，围绕重点工作开展教研活动</w:t>
      </w:r>
      <w:r>
        <w:rPr>
          <w:rFonts w:hint="eastAsia" w:ascii="仿宋_GB2312" w:eastAsia="仿宋_GB2312"/>
          <w:sz w:val="28"/>
          <w:szCs w:val="28"/>
        </w:rPr>
        <w:t>。】</w:t>
      </w:r>
    </w:p>
    <w:p w14:paraId="459801BB">
      <w:pPr>
        <w:pStyle w:val="14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三、工作目标</w:t>
      </w:r>
    </w:p>
    <w:p w14:paraId="768A69AB">
      <w:pPr>
        <w:pStyle w:val="14"/>
        <w:spacing w:line="276" w:lineRule="auto"/>
        <w:ind w:firstLine="56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【制定可量化、高质量目标。</w:t>
      </w:r>
      <w:r>
        <w:rPr>
          <w:rFonts w:hint="eastAsia" w:ascii="仿宋_GB2312" w:eastAsia="仿宋_GB2312"/>
          <w:b/>
          <w:color w:val="2E75B6" w:themeColor="accent1" w:themeShade="BF"/>
          <w:sz w:val="28"/>
        </w:rPr>
        <w:t>每个二级教学单位需在学期末提交课程思政</w:t>
      </w:r>
      <w:r>
        <w:rPr>
          <w:rFonts w:hint="eastAsia" w:ascii="仿宋_GB2312" w:eastAsia="仿宋_GB2312"/>
          <w:b/>
          <w:color w:val="2E75B6" w:themeColor="accent1" w:themeShade="BF"/>
          <w:sz w:val="28"/>
          <w:lang w:val="en-US" w:eastAsia="zh-CN"/>
        </w:rPr>
        <w:t>教学</w:t>
      </w:r>
      <w:r>
        <w:rPr>
          <w:rFonts w:hint="eastAsia" w:ascii="仿宋_GB2312" w:eastAsia="仿宋_GB2312"/>
          <w:b/>
          <w:color w:val="2E75B6" w:themeColor="accent1" w:themeShade="BF"/>
          <w:sz w:val="28"/>
        </w:rPr>
        <w:t>案例2个</w:t>
      </w:r>
      <w:r>
        <w:rPr>
          <w:rFonts w:hint="eastAsia" w:ascii="仿宋_GB2312" w:eastAsia="仿宋_GB2312"/>
          <w:b/>
          <w:color w:val="2E75B6" w:themeColor="accent1" w:themeShade="BF"/>
          <w:sz w:val="28"/>
          <w:lang w:eastAsia="zh-CN"/>
        </w:rPr>
        <w:t>，开设专业的教学单位需凝练人才培养模式创新典型案例1个。</w:t>
      </w:r>
      <w:r>
        <w:rPr>
          <w:rFonts w:hint="eastAsia" w:ascii="仿宋_GB2312" w:eastAsia="仿宋_GB2312"/>
          <w:bCs/>
          <w:sz w:val="28"/>
        </w:rPr>
        <w:t>】</w:t>
      </w:r>
    </w:p>
    <w:p w14:paraId="46E56D71">
      <w:pPr>
        <w:pStyle w:val="14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四、教研室活动计划安排表</w:t>
      </w:r>
    </w:p>
    <w:tbl>
      <w:tblPr>
        <w:tblStyle w:val="7"/>
        <w:tblW w:w="876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550"/>
        <w:gridCol w:w="3819"/>
        <w:gridCol w:w="1385"/>
      </w:tblGrid>
      <w:tr w14:paraId="1DF55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CA3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35A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活动主题</w:t>
            </w:r>
          </w:p>
        </w:tc>
        <w:tc>
          <w:tcPr>
            <w:tcW w:w="3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5E5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活动主要内容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E4E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主持人及记录人</w:t>
            </w:r>
          </w:p>
        </w:tc>
      </w:tr>
      <w:tr w14:paraId="21811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5A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第3周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2AC2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新学期课程集体备课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BBF22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分课程组进行教学内容打磨，重点研讨如何将思政元素自然融入专业课程，初步形成课程思政案例框架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</w:t>
            </w:r>
            <w:r>
              <w:rPr>
                <w:rFonts w:hint="eastAsia"/>
              </w:rPr>
              <w:t>实训室安全规范化管理与风险防控能力提升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1D5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D82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243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第5周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2C44C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最新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政策学习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A25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1.学习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教育部关于深化职业教育教学关键要素改革的意见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教职成〔2026〕1号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；2.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对照职教本科标准分析现有专业差距与改进方向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7E3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37D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14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第7周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DC8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本科层次教师能力建设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08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围绕本科教学对教师的新要求，研讨“双师型”教师能力提升路径，制定个人发展与团队建设计划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ab/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F2E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867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BA0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第9周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FB2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学习本科专业教学标准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010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选取1-2门核心课程，对照普通本科或职业本科的相关课程标准，分析现有专科课程在理论深度、知识广度、技能复合度上的差距。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745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8F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F3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第11周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4AF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课程模块化重构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B7D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分享已实施课程模块化改革经验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探讨如何将岗位技能、竞赛内容、证书标准融入课程体系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6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3DE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CA3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第13周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C35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校企协同教学模式创新与课程共建研讨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50F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邀请合作企业参与，研讨本科层次校企合作模式，探索产业学院建设路径与课程共建机制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B89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E4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69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第15周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1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教学研究赋能课程改革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DF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组织教学改革项目申报经验交流，推动教学研究成果向课程改革、教材建设转化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B7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C09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2F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第17周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FB3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教学业绩计分办法解读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E88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学习《安徽商贸职业技术学院教学业绩计分及奖励办法（试行）》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研讨教研室内部激励与考核优化方案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F22D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可以视办法出台时间适当调整</w:t>
            </w:r>
          </w:p>
        </w:tc>
      </w:tr>
      <w:tr w14:paraId="5BFD1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77C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第19周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AC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学期成果总结与典型案例凝练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DF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汇总本学期教研成果，完成课程思政案例与人才培养模式创新案例初稿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策划下学期教研重点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404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1325422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仿宋_GB2312" w:eastAsia="仿宋_GB2312"/>
          <w:sz w:val="24"/>
        </w:rPr>
        <w:t>(注：以上主题供参考，可围绕重点工作开展主题教研活动；教研活动应注重实效，创新组织形式，不能出现“议而不决，决而不行，行而不果”现象；各教研室将教研活动成果及时通过学院、学校等平台进行广泛宣传。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NjlmMjBiYzg2YTYwNzdiMGMxM2IwOWE3ODI5NjQifQ=="/>
  </w:docVars>
  <w:rsids>
    <w:rsidRoot w:val="00AA209B"/>
    <w:rsid w:val="00004DF0"/>
    <w:rsid w:val="00036D8F"/>
    <w:rsid w:val="00063BD9"/>
    <w:rsid w:val="00147C23"/>
    <w:rsid w:val="00352ECE"/>
    <w:rsid w:val="003A6A27"/>
    <w:rsid w:val="003F3221"/>
    <w:rsid w:val="004535C7"/>
    <w:rsid w:val="00497BBF"/>
    <w:rsid w:val="00514F65"/>
    <w:rsid w:val="005A1C90"/>
    <w:rsid w:val="005D695A"/>
    <w:rsid w:val="005F173D"/>
    <w:rsid w:val="00670F08"/>
    <w:rsid w:val="006F114A"/>
    <w:rsid w:val="00716E28"/>
    <w:rsid w:val="007732DD"/>
    <w:rsid w:val="0079614B"/>
    <w:rsid w:val="00831EF3"/>
    <w:rsid w:val="00856E9E"/>
    <w:rsid w:val="00A37A5F"/>
    <w:rsid w:val="00A82774"/>
    <w:rsid w:val="00AA209B"/>
    <w:rsid w:val="00AB71AE"/>
    <w:rsid w:val="00B66B01"/>
    <w:rsid w:val="00B8256B"/>
    <w:rsid w:val="00CA77B6"/>
    <w:rsid w:val="00DB2602"/>
    <w:rsid w:val="00DE389A"/>
    <w:rsid w:val="00E03C3C"/>
    <w:rsid w:val="00E34821"/>
    <w:rsid w:val="00E82BD7"/>
    <w:rsid w:val="00ED0CC1"/>
    <w:rsid w:val="00ED648C"/>
    <w:rsid w:val="00F225F8"/>
    <w:rsid w:val="00F250C9"/>
    <w:rsid w:val="00F5363B"/>
    <w:rsid w:val="02E35069"/>
    <w:rsid w:val="03726617"/>
    <w:rsid w:val="03DA48E8"/>
    <w:rsid w:val="051060E7"/>
    <w:rsid w:val="06623CAC"/>
    <w:rsid w:val="08053EFD"/>
    <w:rsid w:val="093F343F"/>
    <w:rsid w:val="0B1A7CC0"/>
    <w:rsid w:val="0BDB1C26"/>
    <w:rsid w:val="0BF16C73"/>
    <w:rsid w:val="0C4F1BEB"/>
    <w:rsid w:val="0C5F4759"/>
    <w:rsid w:val="0CD77970"/>
    <w:rsid w:val="0CEA36C2"/>
    <w:rsid w:val="0D991370"/>
    <w:rsid w:val="0EAE434C"/>
    <w:rsid w:val="0F900551"/>
    <w:rsid w:val="10C77FA2"/>
    <w:rsid w:val="10EA0134"/>
    <w:rsid w:val="11515ABE"/>
    <w:rsid w:val="11665A0D"/>
    <w:rsid w:val="11B81FE1"/>
    <w:rsid w:val="150D2643"/>
    <w:rsid w:val="15431BC1"/>
    <w:rsid w:val="16210154"/>
    <w:rsid w:val="16291D25"/>
    <w:rsid w:val="18583BD5"/>
    <w:rsid w:val="1A420699"/>
    <w:rsid w:val="1BEF18CB"/>
    <w:rsid w:val="1CF74F0A"/>
    <w:rsid w:val="1E220F0E"/>
    <w:rsid w:val="1E256308"/>
    <w:rsid w:val="20217EB8"/>
    <w:rsid w:val="20CD2CFB"/>
    <w:rsid w:val="218034A8"/>
    <w:rsid w:val="22327245"/>
    <w:rsid w:val="23580F2E"/>
    <w:rsid w:val="249E6E14"/>
    <w:rsid w:val="25153A21"/>
    <w:rsid w:val="259721E1"/>
    <w:rsid w:val="271B299E"/>
    <w:rsid w:val="28211030"/>
    <w:rsid w:val="29AA1DB7"/>
    <w:rsid w:val="2C063C1D"/>
    <w:rsid w:val="2C0D6D73"/>
    <w:rsid w:val="2C493B09"/>
    <w:rsid w:val="2C8E776E"/>
    <w:rsid w:val="2D0F6B01"/>
    <w:rsid w:val="2DE8728A"/>
    <w:rsid w:val="2E2760CC"/>
    <w:rsid w:val="2ECD27D0"/>
    <w:rsid w:val="3140197F"/>
    <w:rsid w:val="34FA3BF3"/>
    <w:rsid w:val="35892D4D"/>
    <w:rsid w:val="35962E2E"/>
    <w:rsid w:val="38591578"/>
    <w:rsid w:val="3DB7359E"/>
    <w:rsid w:val="3DEB106D"/>
    <w:rsid w:val="3EE33F99"/>
    <w:rsid w:val="3F1B7587"/>
    <w:rsid w:val="3FD31C10"/>
    <w:rsid w:val="40006426"/>
    <w:rsid w:val="43DB1093"/>
    <w:rsid w:val="43E53CC0"/>
    <w:rsid w:val="478C1E07"/>
    <w:rsid w:val="4A37015B"/>
    <w:rsid w:val="4BE23DF7"/>
    <w:rsid w:val="4D782049"/>
    <w:rsid w:val="4D926C66"/>
    <w:rsid w:val="4F0F4A24"/>
    <w:rsid w:val="4FFC650C"/>
    <w:rsid w:val="500F69BB"/>
    <w:rsid w:val="50D2381E"/>
    <w:rsid w:val="515B3813"/>
    <w:rsid w:val="51F9167B"/>
    <w:rsid w:val="528D3EA0"/>
    <w:rsid w:val="53D46FC0"/>
    <w:rsid w:val="54EA7388"/>
    <w:rsid w:val="54EF5825"/>
    <w:rsid w:val="54F41FB5"/>
    <w:rsid w:val="561A3C9D"/>
    <w:rsid w:val="569752EE"/>
    <w:rsid w:val="569E0C46"/>
    <w:rsid w:val="57AF48B9"/>
    <w:rsid w:val="58093ADE"/>
    <w:rsid w:val="581666E6"/>
    <w:rsid w:val="585D0D8D"/>
    <w:rsid w:val="59637709"/>
    <w:rsid w:val="5C8F7FF5"/>
    <w:rsid w:val="5CD31049"/>
    <w:rsid w:val="5F13572D"/>
    <w:rsid w:val="605B4E7D"/>
    <w:rsid w:val="616E4359"/>
    <w:rsid w:val="61DA0784"/>
    <w:rsid w:val="61EE5534"/>
    <w:rsid w:val="636C365E"/>
    <w:rsid w:val="64A5151D"/>
    <w:rsid w:val="65D976D1"/>
    <w:rsid w:val="664F0CB2"/>
    <w:rsid w:val="68994EF5"/>
    <w:rsid w:val="68ED6245"/>
    <w:rsid w:val="695D5F23"/>
    <w:rsid w:val="69B47B0D"/>
    <w:rsid w:val="6AA67D9D"/>
    <w:rsid w:val="6B3501A9"/>
    <w:rsid w:val="6CA50DE5"/>
    <w:rsid w:val="6D2531FB"/>
    <w:rsid w:val="6E16424A"/>
    <w:rsid w:val="6E844A55"/>
    <w:rsid w:val="6E971ED7"/>
    <w:rsid w:val="6EB04A1D"/>
    <w:rsid w:val="6ECC76A7"/>
    <w:rsid w:val="745E5245"/>
    <w:rsid w:val="75FD189C"/>
    <w:rsid w:val="7662679B"/>
    <w:rsid w:val="77F35139"/>
    <w:rsid w:val="7909198D"/>
    <w:rsid w:val="7922465F"/>
    <w:rsid w:val="79224A93"/>
    <w:rsid w:val="7AAE5EBD"/>
    <w:rsid w:val="7AE429CD"/>
    <w:rsid w:val="7C2A25DC"/>
    <w:rsid w:val="7C8D13D6"/>
    <w:rsid w:val="7DD32800"/>
    <w:rsid w:val="7ED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文字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主题 字符"/>
    <w:basedOn w:val="15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7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0321-698D-4064-8975-E1A6CD2FCF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959</Words>
  <Characters>993</Characters>
  <Lines>37</Lines>
  <Paragraphs>36</Paragraphs>
  <TotalTime>47</TotalTime>
  <ScaleCrop>false</ScaleCrop>
  <LinksUpToDate>false</LinksUpToDate>
  <CharactersWithSpaces>994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2023-09-08T01:40:00Z</dcterms:created>
  <dc:creator>Administrator</dc:creator>
  <cp:lastModifiedBy>陶陶陶♥</cp:lastModifiedBy>
  <cp:lastPrinted>2024-01-25T01:48:00Z</cp:lastPrinted>
  <dcterms:modified xsi:type="dcterms:W3CDTF">2026-03-03T01:57:29Z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258BF100D8CD422AB6BBF7FE333995A9_12</vt:lpwstr>
  </property>
  <property fmtid="{D5CDD505-2E9C-101B-9397-08002B2CF9AE}" pid="4" name="KSOTemplateDocerSaveRecord">
    <vt:lpwstr>eyJoZGlkIjoiMzM2NjlmMjBiYzg2YTYwNzdiMGMxM2IwOWE3ODI5NjQiLCJ1c2VySWQiOiI2NTUyMDY0NzkifQ==</vt:lpwstr>
  </property>
</Properties>
</file>