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2020年部门支出预算调增申请表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20"/>
          <w:szCs w:val="20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部门：</w:t>
            </w:r>
          </w:p>
        </w:tc>
        <w:tc>
          <w:tcPr>
            <w:tcW w:w="2841" w:type="dxa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经办人：</w:t>
            </w:r>
          </w:p>
        </w:tc>
        <w:tc>
          <w:tcPr>
            <w:tcW w:w="2841" w:type="dxa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新增预算项目名称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新增预算项目金额（元）</w:t>
            </w:r>
          </w:p>
        </w:tc>
        <w:tc>
          <w:tcPr>
            <w:tcW w:w="2841" w:type="dxa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总金额</w:t>
            </w:r>
          </w:p>
        </w:tc>
        <w:tc>
          <w:tcPr>
            <w:tcW w:w="2841" w:type="dxa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其中：专用材料费</w:t>
            </w:r>
          </w:p>
        </w:tc>
        <w:tc>
          <w:tcPr>
            <w:tcW w:w="2841" w:type="dxa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ind w:firstLine="660" w:firstLineChars="300"/>
              <w:jc w:val="both"/>
              <w:rPr>
                <w:rFonts w:hint="default" w:ascii="宋体" w:hAnsi="宋体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……</w:t>
            </w:r>
          </w:p>
        </w:tc>
        <w:tc>
          <w:tcPr>
            <w:tcW w:w="2841" w:type="dxa"/>
            <w:vAlign w:val="center"/>
          </w:tcPr>
          <w:p>
            <w:pPr>
              <w:jc w:val="both"/>
              <w:rPr>
                <w:rFonts w:hint="default" w:ascii="宋体" w:hAnsi="宋体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ind w:firstLine="660" w:firstLineChars="300"/>
              <w:jc w:val="both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exact"/>
          <w:jc w:val="center"/>
        </w:trPr>
        <w:tc>
          <w:tcPr>
            <w:tcW w:w="284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新增原因</w:t>
            </w:r>
          </w:p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（详细说明，可另附页）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40" w:type="dxa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部门负责人意见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40" w:type="dxa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预算归口部门意见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40" w:type="dxa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分管领导意见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40" w:type="dxa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总会计师意见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40" w:type="dxa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主要领导意见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40" w:type="dxa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财务负责人意见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审批流程：1、</w:t>
      </w:r>
      <w:r>
        <w:rPr>
          <w:rFonts w:ascii="宋体" w:hAnsi="宋体" w:eastAsia="宋体" w:cs="宋体"/>
          <w:sz w:val="20"/>
          <w:szCs w:val="20"/>
        </w:rPr>
        <w:t>5000元以内的（含5000元，下同）由部门负责人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和预算归口部门负责人</w:t>
      </w:r>
      <w:r>
        <w:rPr>
          <w:rFonts w:ascii="宋体" w:hAnsi="宋体" w:eastAsia="宋体" w:cs="宋体"/>
          <w:sz w:val="20"/>
          <w:szCs w:val="20"/>
        </w:rPr>
        <w:t>签批；5000元以上至2万元以内的，经部门负责人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和预算归口部门负责人</w:t>
      </w:r>
      <w:r>
        <w:rPr>
          <w:rFonts w:ascii="宋体" w:hAnsi="宋体" w:eastAsia="宋体" w:cs="宋体"/>
          <w:sz w:val="20"/>
          <w:szCs w:val="20"/>
        </w:rPr>
        <w:t>后，由分管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校领导</w:t>
      </w:r>
      <w:r>
        <w:rPr>
          <w:rFonts w:ascii="宋体" w:hAnsi="宋体" w:eastAsia="宋体" w:cs="宋体"/>
          <w:sz w:val="20"/>
          <w:szCs w:val="20"/>
        </w:rPr>
        <w:t>签批；2万元以上的，经部门负责人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、预算归口部门负责人</w:t>
      </w:r>
      <w:r>
        <w:rPr>
          <w:rFonts w:ascii="宋体" w:hAnsi="宋体" w:eastAsia="宋体" w:cs="宋体"/>
          <w:sz w:val="20"/>
          <w:szCs w:val="20"/>
        </w:rPr>
        <w:t>和分管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校领导</w:t>
      </w:r>
      <w:r>
        <w:rPr>
          <w:rFonts w:ascii="宋体" w:hAnsi="宋体" w:eastAsia="宋体" w:cs="宋体"/>
          <w:sz w:val="20"/>
          <w:szCs w:val="20"/>
        </w:rPr>
        <w:t>签字后，由总会计师和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主要领导</w:t>
      </w:r>
      <w:bookmarkStart w:id="0" w:name="_GoBack"/>
      <w:bookmarkEnd w:id="0"/>
      <w:r>
        <w:rPr>
          <w:rFonts w:ascii="宋体" w:hAnsi="宋体" w:eastAsia="宋体" w:cs="宋体"/>
          <w:sz w:val="20"/>
          <w:szCs w:val="20"/>
        </w:rPr>
        <w:t>联签批准。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2、申请部门和预算归口部门为同一部门的，部门负责人签批意见即可。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44710"/>
    <w:rsid w:val="03D9655C"/>
    <w:rsid w:val="1E095858"/>
    <w:rsid w:val="50207300"/>
    <w:rsid w:val="5EB44710"/>
    <w:rsid w:val="669A4B8F"/>
    <w:rsid w:val="70B8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2020-05-10T08:01:00Z</dcterms:created>
  <dc:creator>驛車</dc:creator>
  <cp:lastModifiedBy>驛車</cp:lastModifiedBy>
  <dcterms:modified xsi:type="dcterms:W3CDTF">2020-05-18T07:09:48Z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