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方正黑体_GBK" w:eastAsia="方正黑体_GBK"/>
          <w:snapToGrid w:val="0"/>
          <w:kern w:val="0"/>
          <w:szCs w:val="32"/>
        </w:rPr>
      </w:pPr>
      <w:bookmarkStart w:id="5" w:name="_GoBack"/>
      <w:r>
        <w:rPr>
          <w:rFonts w:hint="eastAsia" w:ascii="方正黑体_GBK" w:eastAsia="方正黑体_GBK"/>
          <w:snapToGrid w:val="0"/>
          <w:kern w:val="0"/>
          <w:szCs w:val="32"/>
        </w:rPr>
        <w:t>附件</w:t>
      </w:r>
    </w:p>
    <w:p>
      <w:pPr>
        <w:adjustRightInd w:val="0"/>
        <w:snapToGrid w:val="0"/>
        <w:spacing w:line="560" w:lineRule="exact"/>
        <w:jc w:val="center"/>
        <w:rPr>
          <w:rFonts w:hint="eastAsia" w:ascii="方正小标宋简体" w:eastAsia="方正小标宋简体"/>
          <w:bCs/>
          <w:snapToGrid w:val="0"/>
          <w:spacing w:val="40"/>
          <w:kern w:val="0"/>
          <w:sz w:val="44"/>
          <w:szCs w:val="44"/>
        </w:rPr>
      </w:pPr>
      <w:r>
        <w:rPr>
          <w:rFonts w:hint="eastAsia" w:ascii="方正小标宋简体" w:eastAsia="方正小标宋简体"/>
          <w:bCs/>
          <w:snapToGrid w:val="0"/>
          <w:kern w:val="0"/>
          <w:sz w:val="44"/>
          <w:szCs w:val="44"/>
        </w:rPr>
        <w:t>安徽省职业教育校企合作</w:t>
      </w:r>
      <w:r>
        <w:rPr>
          <w:rFonts w:hint="eastAsia" w:ascii="方正小标宋简体" w:eastAsia="方正小标宋简体"/>
          <w:bCs/>
          <w:snapToGrid w:val="0"/>
          <w:spacing w:val="40"/>
          <w:kern w:val="0"/>
          <w:sz w:val="44"/>
          <w:szCs w:val="44"/>
        </w:rPr>
        <w:t>促进办法</w:t>
      </w:r>
    </w:p>
    <w:p>
      <w:pPr>
        <w:tabs>
          <w:tab w:val="left" w:pos="7560"/>
        </w:tabs>
        <w:adjustRightInd w:val="0"/>
        <w:snapToGrid w:val="0"/>
        <w:spacing w:line="560" w:lineRule="exact"/>
        <w:rPr>
          <w:rFonts w:hint="eastAsia" w:ascii="黑体" w:hAnsi="黑体" w:eastAsia="黑体"/>
          <w:snapToGrid w:val="0"/>
          <w:kern w:val="0"/>
          <w:szCs w:val="32"/>
        </w:rPr>
      </w:pPr>
    </w:p>
    <w:p>
      <w:pPr>
        <w:tabs>
          <w:tab w:val="left" w:pos="7560"/>
        </w:tabs>
        <w:adjustRightInd w:val="0"/>
        <w:snapToGrid w:val="0"/>
        <w:spacing w:line="560" w:lineRule="exact"/>
        <w:jc w:val="center"/>
        <w:rPr>
          <w:rFonts w:hint="eastAsia" w:ascii="黑体" w:hAnsi="黑体" w:eastAsia="黑体"/>
          <w:snapToGrid w:val="0"/>
          <w:kern w:val="0"/>
          <w:szCs w:val="32"/>
        </w:rPr>
      </w:pPr>
      <w:r>
        <w:rPr>
          <w:rFonts w:hint="eastAsia" w:ascii="黑体" w:hAnsi="黑体" w:eastAsia="黑体"/>
          <w:snapToGrid w:val="0"/>
          <w:kern w:val="0"/>
          <w:szCs w:val="32"/>
        </w:rPr>
        <w:t>第一章  总 则</w:t>
      </w:r>
    </w:p>
    <w:p>
      <w:pPr>
        <w:adjustRightInd w:val="0"/>
        <w:snapToGrid w:val="0"/>
        <w:spacing w:line="560" w:lineRule="exact"/>
        <w:ind w:firstLine="667" w:firstLineChars="200"/>
        <w:rPr>
          <w:rFonts w:ascii="仿宋_GB2312" w:eastAsia="仿宋_GB2312"/>
          <w:snapToGrid w:val="0"/>
          <w:kern w:val="0"/>
          <w:szCs w:val="32"/>
        </w:rPr>
      </w:pPr>
      <w:r>
        <w:rPr>
          <w:rFonts w:hint="eastAsia" w:ascii="仿宋_GB2312" w:eastAsia="仿宋_GB2312"/>
          <w:b/>
          <w:snapToGrid w:val="0"/>
          <w:spacing w:val="6"/>
          <w:kern w:val="0"/>
          <w:szCs w:val="32"/>
        </w:rPr>
        <w:t>第一条</w:t>
      </w:r>
      <w:r>
        <w:rPr>
          <w:rFonts w:hint="eastAsia" w:ascii="仿宋_GB2312" w:eastAsia="仿宋_GB2312"/>
          <w:snapToGrid w:val="0"/>
          <w:spacing w:val="6"/>
          <w:kern w:val="0"/>
          <w:szCs w:val="32"/>
        </w:rPr>
        <w:t xml:space="preserve">  为深化产教融合、校企合作，发挥企业在实施职业教育中的重要办学主体作用，完善现代职业教育和培训体系，建设知识型、技能型、创新型劳动者大军，增强职业教育服务</w:t>
      </w:r>
      <w:r>
        <w:rPr>
          <w:rFonts w:ascii="仿宋_GB2312" w:eastAsia="仿宋_GB2312"/>
          <w:snapToGrid w:val="0"/>
          <w:spacing w:val="6"/>
          <w:kern w:val="0"/>
          <w:szCs w:val="32"/>
        </w:rPr>
        <w:t>建设现代化五大发展美好安徽</w:t>
      </w:r>
      <w:r>
        <w:rPr>
          <w:rFonts w:hint="eastAsia" w:ascii="仿宋_GB2312" w:eastAsia="仿宋_GB2312"/>
          <w:snapToGrid w:val="0"/>
          <w:spacing w:val="6"/>
          <w:kern w:val="0"/>
          <w:szCs w:val="32"/>
        </w:rPr>
        <w:t>能力，根据教育部等六部门制定的《职业学校校企合作促进办法》和安徽省人民政府办公厅《关于深化产教融合的实施意见》，结合我省实际，制定本办法</w:t>
      </w:r>
      <w:r>
        <w:rPr>
          <w:rFonts w:hint="eastAsia" w:ascii="仿宋_GB2312" w:eastAsia="仿宋_GB2312"/>
          <w:snapToGrid w:val="0"/>
          <w:kern w:val="0"/>
          <w:szCs w:val="32"/>
        </w:rPr>
        <w:t>。</w:t>
      </w:r>
    </w:p>
    <w:p>
      <w:pPr>
        <w:adjustRightInd w:val="0"/>
        <w:snapToGrid w:val="0"/>
        <w:spacing w:line="560" w:lineRule="exact"/>
        <w:ind w:firstLine="667" w:firstLineChars="200"/>
        <w:rPr>
          <w:rFonts w:ascii="仿宋_GB2312" w:eastAsia="仿宋_GB2312"/>
          <w:snapToGrid w:val="0"/>
          <w:spacing w:val="6"/>
          <w:kern w:val="0"/>
          <w:szCs w:val="32"/>
        </w:rPr>
      </w:pPr>
      <w:r>
        <w:rPr>
          <w:rFonts w:hint="eastAsia" w:ascii="仿宋_GB2312" w:eastAsia="仿宋_GB2312"/>
          <w:b/>
          <w:snapToGrid w:val="0"/>
          <w:spacing w:val="6"/>
          <w:kern w:val="0"/>
          <w:szCs w:val="32"/>
        </w:rPr>
        <w:t xml:space="preserve">第二条 </w:t>
      </w:r>
      <w:r>
        <w:rPr>
          <w:rFonts w:hint="eastAsia" w:ascii="仿宋_GB2312" w:eastAsia="仿宋_GB2312"/>
          <w:snapToGrid w:val="0"/>
          <w:kern w:val="0"/>
          <w:szCs w:val="32"/>
        </w:rPr>
        <w:t xml:space="preserve"> </w:t>
      </w:r>
      <w:r>
        <w:rPr>
          <w:rFonts w:hint="eastAsia" w:ascii="仿宋_GB2312" w:eastAsia="仿宋_GB2312"/>
          <w:snapToGrid w:val="0"/>
          <w:spacing w:val="6"/>
          <w:kern w:val="0"/>
          <w:szCs w:val="32"/>
        </w:rPr>
        <w:t>本办法所称校企合作是指职业院校和企业通过共同育人、合作研究、共建机构、共享资源等方式实施的合作活动。主要形式有：</w:t>
      </w:r>
    </w:p>
    <w:p>
      <w:pPr>
        <w:adjustRightInd w:val="0"/>
        <w:snapToGrid w:val="0"/>
        <w:spacing w:line="560" w:lineRule="exact"/>
        <w:ind w:firstLine="664" w:firstLineChars="200"/>
        <w:rPr>
          <w:rFonts w:ascii="仿宋_GB2312" w:eastAsia="仿宋_GB2312"/>
          <w:snapToGrid w:val="0"/>
          <w:spacing w:val="6"/>
          <w:kern w:val="0"/>
          <w:szCs w:val="32"/>
        </w:rPr>
      </w:pPr>
      <w:r>
        <w:rPr>
          <w:rFonts w:hint="eastAsia" w:ascii="仿宋_GB2312" w:eastAsia="仿宋_GB2312"/>
          <w:snapToGrid w:val="0"/>
          <w:spacing w:val="6"/>
          <w:kern w:val="0"/>
          <w:szCs w:val="32"/>
        </w:rPr>
        <w:t>（一）根据就业市场需求，合作设置专业、研发专业标准，开发课程体系、教学标准以及教材、教学辅助产品，开展专业建设；</w:t>
      </w:r>
    </w:p>
    <w:p>
      <w:pPr>
        <w:adjustRightInd w:val="0"/>
        <w:snapToGrid w:val="0"/>
        <w:spacing w:line="560" w:lineRule="exact"/>
        <w:ind w:firstLine="664" w:firstLineChars="200"/>
        <w:rPr>
          <w:rFonts w:ascii="仿宋_GB2312" w:eastAsia="仿宋_GB2312"/>
          <w:snapToGrid w:val="0"/>
          <w:spacing w:val="6"/>
          <w:kern w:val="0"/>
          <w:szCs w:val="32"/>
        </w:rPr>
      </w:pPr>
      <w:r>
        <w:rPr>
          <w:rFonts w:hint="eastAsia" w:ascii="仿宋_GB2312" w:eastAsia="仿宋_GB2312"/>
          <w:snapToGrid w:val="0"/>
          <w:spacing w:val="6"/>
          <w:kern w:val="0"/>
          <w:szCs w:val="32"/>
        </w:rPr>
        <w:t>（二）合作制定人才培养或职工培训方案，实现人员互相兼职，相互为学生实习实训、教师实践、学生就业创业、员工培训、企业技术和产品研发、成果转移转化等提供支持；</w:t>
      </w:r>
    </w:p>
    <w:p>
      <w:pPr>
        <w:adjustRightInd w:val="0"/>
        <w:snapToGrid w:val="0"/>
        <w:spacing w:line="560" w:lineRule="exact"/>
        <w:ind w:firstLine="664" w:firstLineChars="200"/>
        <w:rPr>
          <w:rFonts w:ascii="仿宋_GB2312" w:eastAsia="仿宋_GB2312"/>
          <w:snapToGrid w:val="0"/>
          <w:spacing w:val="6"/>
          <w:kern w:val="0"/>
          <w:szCs w:val="32"/>
        </w:rPr>
      </w:pPr>
      <w:r>
        <w:rPr>
          <w:rFonts w:hint="eastAsia" w:ascii="仿宋_GB2312" w:eastAsia="仿宋_GB2312"/>
          <w:snapToGrid w:val="0"/>
          <w:spacing w:val="6"/>
          <w:kern w:val="0"/>
          <w:szCs w:val="32"/>
        </w:rPr>
        <w:t>（三）根据企业工作岗位需求，开展订单式、学徒制合作，联合招收学员，按照工学结合模式，实行校企双主体育人；</w:t>
      </w:r>
    </w:p>
    <w:p>
      <w:pPr>
        <w:adjustRightInd w:val="0"/>
        <w:snapToGrid w:val="0"/>
        <w:spacing w:line="560" w:lineRule="exact"/>
        <w:ind w:firstLine="664" w:firstLineChars="200"/>
        <w:rPr>
          <w:rFonts w:ascii="仿宋_GB2312" w:eastAsia="仿宋_GB2312"/>
          <w:snapToGrid w:val="0"/>
          <w:spacing w:val="6"/>
          <w:kern w:val="0"/>
          <w:szCs w:val="32"/>
        </w:rPr>
      </w:pPr>
      <w:r>
        <w:rPr>
          <w:rFonts w:hint="eastAsia" w:ascii="仿宋_GB2312" w:eastAsia="仿宋_GB2312"/>
          <w:snapToGrid w:val="0"/>
          <w:spacing w:val="6"/>
          <w:kern w:val="0"/>
          <w:szCs w:val="32"/>
        </w:rPr>
        <w:t>（四）以多种形式合作办学，合作创建并共同管理教学和科研机构，建设实习实训基地、技术工艺和产品开发中心及学生创新创业、员工培训、技能鉴定等机构；</w:t>
      </w:r>
    </w:p>
    <w:p>
      <w:pPr>
        <w:adjustRightInd w:val="0"/>
        <w:snapToGrid w:val="0"/>
        <w:spacing w:line="560" w:lineRule="exact"/>
        <w:ind w:firstLine="664" w:firstLineChars="200"/>
        <w:rPr>
          <w:rFonts w:ascii="仿宋_GB2312" w:eastAsia="仿宋_GB2312"/>
          <w:snapToGrid w:val="0"/>
          <w:spacing w:val="6"/>
          <w:kern w:val="0"/>
          <w:szCs w:val="32"/>
        </w:rPr>
      </w:pPr>
      <w:r>
        <w:rPr>
          <w:rFonts w:hint="eastAsia" w:ascii="仿宋_GB2312" w:eastAsia="仿宋_GB2312"/>
          <w:snapToGrid w:val="0"/>
          <w:spacing w:val="6"/>
          <w:kern w:val="0"/>
          <w:szCs w:val="32"/>
        </w:rPr>
        <w:t>（五）合作研发岗位规范、质量标准等；</w:t>
      </w:r>
    </w:p>
    <w:p>
      <w:pPr>
        <w:adjustRightInd w:val="0"/>
        <w:snapToGrid w:val="0"/>
        <w:spacing w:line="560" w:lineRule="exact"/>
        <w:ind w:firstLine="664" w:firstLineChars="200"/>
        <w:rPr>
          <w:rFonts w:ascii="仿宋_GB2312" w:eastAsia="仿宋_GB2312"/>
          <w:snapToGrid w:val="0"/>
          <w:spacing w:val="6"/>
          <w:kern w:val="0"/>
          <w:szCs w:val="32"/>
        </w:rPr>
      </w:pPr>
      <w:r>
        <w:rPr>
          <w:rFonts w:hint="eastAsia" w:ascii="仿宋_GB2312" w:eastAsia="仿宋_GB2312"/>
          <w:snapToGrid w:val="0"/>
          <w:spacing w:val="6"/>
          <w:kern w:val="0"/>
          <w:szCs w:val="32"/>
        </w:rPr>
        <w:t>（六）组织开展技能竞赛、产教融合型企业建设试点、优秀企业文化传承和社会服务等活动；</w:t>
      </w:r>
    </w:p>
    <w:p>
      <w:pPr>
        <w:adjustRightInd w:val="0"/>
        <w:snapToGrid w:val="0"/>
        <w:spacing w:line="560" w:lineRule="exact"/>
        <w:ind w:firstLine="664" w:firstLineChars="200"/>
        <w:rPr>
          <w:rFonts w:ascii="仿宋_GB2312" w:eastAsia="仿宋_GB2312"/>
          <w:snapToGrid w:val="0"/>
          <w:spacing w:val="6"/>
          <w:kern w:val="0"/>
          <w:szCs w:val="32"/>
        </w:rPr>
      </w:pPr>
      <w:r>
        <w:rPr>
          <w:rFonts w:hint="eastAsia" w:ascii="仿宋_GB2312" w:eastAsia="仿宋_GB2312"/>
          <w:snapToGrid w:val="0"/>
          <w:spacing w:val="6"/>
          <w:kern w:val="0"/>
          <w:szCs w:val="32"/>
        </w:rPr>
        <w:t>（七）法律法规未禁止的其他合作方式和内容。</w:t>
      </w:r>
    </w:p>
    <w:p>
      <w:pPr>
        <w:adjustRightInd w:val="0"/>
        <w:snapToGrid w:val="0"/>
        <w:spacing w:line="560" w:lineRule="exact"/>
        <w:rPr>
          <w:rFonts w:ascii="仿宋_GB2312" w:eastAsia="仿宋_GB2312"/>
          <w:snapToGrid w:val="0"/>
          <w:spacing w:val="6"/>
          <w:kern w:val="0"/>
          <w:szCs w:val="32"/>
        </w:rPr>
      </w:pPr>
      <w:r>
        <w:rPr>
          <w:rFonts w:hint="eastAsia" w:ascii="仿宋_GB2312" w:eastAsia="仿宋_GB2312"/>
          <w:b/>
          <w:snapToGrid w:val="0"/>
          <w:spacing w:val="6"/>
          <w:kern w:val="0"/>
          <w:szCs w:val="32"/>
        </w:rPr>
        <w:t xml:space="preserve">    第三条</w:t>
      </w:r>
      <w:r>
        <w:rPr>
          <w:rFonts w:hint="eastAsia" w:ascii="仿宋_GB2312" w:eastAsia="仿宋_GB2312"/>
          <w:snapToGrid w:val="0"/>
          <w:kern w:val="0"/>
          <w:szCs w:val="32"/>
        </w:rPr>
        <w:t xml:space="preserve"> </w:t>
      </w:r>
      <w:r>
        <w:rPr>
          <w:rFonts w:hint="eastAsia" w:ascii="仿宋_GB2312" w:eastAsia="仿宋_GB2312"/>
          <w:snapToGrid w:val="0"/>
          <w:spacing w:val="6"/>
          <w:kern w:val="0"/>
          <w:szCs w:val="32"/>
        </w:rPr>
        <w:t>职业教育校企合作实行校企主导、政府推动、行业指导、学校企业双主体实施的合作机制，</w:t>
      </w:r>
      <w:r>
        <w:rPr>
          <w:rFonts w:ascii="仿宋_GB2312" w:eastAsia="仿宋_GB2312"/>
          <w:snapToGrid w:val="0"/>
          <w:spacing w:val="6"/>
          <w:kern w:val="0"/>
          <w:szCs w:val="32"/>
        </w:rPr>
        <w:t>遵循</w:t>
      </w:r>
      <w:r>
        <w:rPr>
          <w:rFonts w:hint="eastAsia" w:ascii="仿宋_GB2312" w:eastAsia="仿宋_GB2312"/>
          <w:snapToGrid w:val="0"/>
          <w:spacing w:val="6"/>
          <w:kern w:val="0"/>
          <w:szCs w:val="32"/>
        </w:rPr>
        <w:t>“平等</w:t>
      </w:r>
      <w:r>
        <w:rPr>
          <w:rFonts w:ascii="仿宋_GB2312" w:eastAsia="仿宋_GB2312"/>
          <w:snapToGrid w:val="0"/>
          <w:spacing w:val="6"/>
          <w:kern w:val="0"/>
          <w:szCs w:val="32"/>
        </w:rPr>
        <w:t>自愿、</w:t>
      </w:r>
      <w:r>
        <w:rPr>
          <w:rFonts w:hint="eastAsia" w:ascii="仿宋_GB2312" w:eastAsia="仿宋_GB2312"/>
          <w:snapToGrid w:val="0"/>
          <w:spacing w:val="6"/>
          <w:kern w:val="0"/>
          <w:szCs w:val="32"/>
        </w:rPr>
        <w:t>资源共享、优势互补、过程共管、</w:t>
      </w:r>
      <w:r>
        <w:rPr>
          <w:rFonts w:ascii="仿宋_GB2312" w:eastAsia="仿宋_GB2312"/>
          <w:snapToGrid w:val="0"/>
          <w:spacing w:val="6"/>
          <w:kern w:val="0"/>
          <w:szCs w:val="32"/>
        </w:rPr>
        <w:t>依法实施</w:t>
      </w:r>
      <w:r>
        <w:rPr>
          <w:rFonts w:hint="eastAsia" w:ascii="仿宋_GB2312" w:eastAsia="仿宋_GB2312"/>
          <w:snapToGrid w:val="0"/>
          <w:spacing w:val="6"/>
          <w:kern w:val="0"/>
          <w:szCs w:val="32"/>
        </w:rPr>
        <w:t>、互利共赢”的原则，</w:t>
      </w:r>
      <w:r>
        <w:rPr>
          <w:rFonts w:ascii="仿宋_GB2312" w:eastAsia="仿宋_GB2312"/>
          <w:snapToGrid w:val="0"/>
          <w:spacing w:val="6"/>
          <w:kern w:val="0"/>
          <w:szCs w:val="32"/>
        </w:rPr>
        <w:t>实现</w:t>
      </w:r>
      <w:r>
        <w:rPr>
          <w:rFonts w:hint="eastAsia" w:ascii="仿宋_GB2312" w:eastAsia="仿宋_GB2312"/>
          <w:snapToGrid w:val="0"/>
          <w:spacing w:val="6"/>
          <w:kern w:val="0"/>
          <w:szCs w:val="32"/>
        </w:rPr>
        <w:t>育人、</w:t>
      </w:r>
      <w:r>
        <w:rPr>
          <w:rFonts w:ascii="仿宋_GB2312" w:eastAsia="仿宋_GB2312"/>
          <w:snapToGrid w:val="0"/>
          <w:spacing w:val="6"/>
          <w:kern w:val="0"/>
          <w:szCs w:val="32"/>
        </w:rPr>
        <w:t>生产、科研相结合</w:t>
      </w:r>
      <w:r>
        <w:rPr>
          <w:rFonts w:hint="eastAsia" w:ascii="仿宋_GB2312" w:eastAsia="仿宋_GB2312"/>
          <w:snapToGrid w:val="0"/>
          <w:spacing w:val="6"/>
          <w:kern w:val="0"/>
          <w:szCs w:val="32"/>
        </w:rPr>
        <w:t>，促进人才培养供给侧和产业需求侧结构要素全方位融合。</w:t>
      </w:r>
    </w:p>
    <w:p>
      <w:pPr>
        <w:tabs>
          <w:tab w:val="left" w:pos="7560"/>
        </w:tabs>
        <w:adjustRightInd w:val="0"/>
        <w:snapToGrid w:val="0"/>
        <w:spacing w:line="560" w:lineRule="exact"/>
        <w:jc w:val="center"/>
        <w:rPr>
          <w:rFonts w:hint="eastAsia" w:ascii="黑体" w:hAnsi="黑体" w:eastAsia="黑体"/>
          <w:snapToGrid w:val="0"/>
          <w:kern w:val="0"/>
          <w:szCs w:val="32"/>
        </w:rPr>
      </w:pPr>
      <w:r>
        <w:rPr>
          <w:rFonts w:hint="eastAsia" w:ascii="黑体" w:hAnsi="黑体" w:eastAsia="黑体"/>
          <w:snapToGrid w:val="0"/>
          <w:kern w:val="0"/>
          <w:szCs w:val="32"/>
        </w:rPr>
        <w:t>第二章  实施与管理</w:t>
      </w:r>
    </w:p>
    <w:p>
      <w:pPr>
        <w:adjustRightInd w:val="0"/>
        <w:snapToGrid w:val="0"/>
        <w:spacing w:line="560" w:lineRule="exact"/>
        <w:ind w:firstLine="667" w:firstLineChars="200"/>
        <w:rPr>
          <w:rFonts w:hint="eastAsia" w:ascii="仿宋_GB2312" w:eastAsia="仿宋_GB2312"/>
          <w:snapToGrid w:val="0"/>
          <w:spacing w:val="6"/>
          <w:kern w:val="0"/>
          <w:szCs w:val="32"/>
        </w:rPr>
      </w:pPr>
      <w:r>
        <w:rPr>
          <w:rFonts w:hint="eastAsia" w:ascii="仿宋_GB2312" w:eastAsia="仿宋_GB2312"/>
          <w:b/>
          <w:snapToGrid w:val="0"/>
          <w:spacing w:val="6"/>
          <w:kern w:val="0"/>
          <w:szCs w:val="32"/>
        </w:rPr>
        <w:t>第四条</w:t>
      </w:r>
      <w:r>
        <w:rPr>
          <w:rFonts w:hint="eastAsia" w:ascii="仿宋_GB2312" w:eastAsia="仿宋_GB2312"/>
          <w:snapToGrid w:val="0"/>
          <w:kern w:val="0"/>
          <w:szCs w:val="32"/>
        </w:rPr>
        <w:t xml:space="preserve">  </w:t>
      </w:r>
      <w:r>
        <w:rPr>
          <w:rFonts w:hint="eastAsia" w:ascii="仿宋_GB2312" w:eastAsia="仿宋_GB2312"/>
          <w:snapToGrid w:val="0"/>
          <w:spacing w:val="6"/>
          <w:kern w:val="0"/>
          <w:szCs w:val="32"/>
        </w:rPr>
        <w:t>在各级人民政府领导下，教育行政部门负责职业院校校企合作工作的统筹协调、规划指导、综合管理和服务保障，会同发展改革、经济和信息、财政、人力资源社会保障、税务等有关部门做好相关工作。</w:t>
      </w:r>
      <w:r>
        <w:rPr>
          <w:rFonts w:ascii="仿宋_GB2312" w:eastAsia="仿宋_GB2312"/>
          <w:snapToGrid w:val="0"/>
          <w:spacing w:val="6"/>
          <w:kern w:val="0"/>
          <w:szCs w:val="32"/>
        </w:rPr>
        <w:t xml:space="preserve"> </w:t>
      </w:r>
    </w:p>
    <w:p>
      <w:pPr>
        <w:adjustRightInd w:val="0"/>
        <w:snapToGrid w:val="0"/>
        <w:spacing w:line="560" w:lineRule="exact"/>
        <w:ind w:firstLine="640" w:firstLineChars="200"/>
        <w:rPr>
          <w:rFonts w:hint="eastAsia" w:ascii="仿宋_GB2312" w:eastAsia="仿宋_GB2312"/>
          <w:snapToGrid w:val="0"/>
          <w:kern w:val="0"/>
          <w:szCs w:val="32"/>
        </w:rPr>
      </w:pPr>
      <w:r>
        <w:rPr>
          <w:rFonts w:hint="eastAsia" w:ascii="仿宋_GB2312" w:eastAsia="仿宋_GB2312"/>
          <w:snapToGrid w:val="0"/>
          <w:kern w:val="0"/>
          <w:szCs w:val="32"/>
        </w:rPr>
        <w:t>教育部门会同人力资源社会保障部门负责推进职业院校校企合作办学模式研究</w:t>
      </w:r>
      <w:r>
        <w:rPr>
          <w:rFonts w:ascii="仿宋_GB2312" w:eastAsia="仿宋_GB2312"/>
          <w:snapToGrid w:val="0"/>
          <w:kern w:val="0"/>
          <w:szCs w:val="32"/>
        </w:rPr>
        <w:t>和</w:t>
      </w:r>
      <w:r>
        <w:rPr>
          <w:rFonts w:hint="eastAsia" w:ascii="仿宋_GB2312" w:eastAsia="仿宋_GB2312"/>
          <w:snapToGrid w:val="0"/>
          <w:kern w:val="0"/>
          <w:szCs w:val="32"/>
        </w:rPr>
        <w:t>改革，加强对职业院校校企合作的指导，将校企合作办学紧密程度和水平作为职业院校办学业绩和水平评价、工作目标考评的重要内容，把职业院校校企合作情况纳入质量年度报告，推动职业教育校企合作不断深化；发展改革部门要将产教融合纳入经济社会发展规划以及区域发展、产业发展、城市建设和重大生产力布局规划，</w:t>
      </w:r>
      <w:r>
        <w:rPr>
          <w:rFonts w:hint="eastAsia" w:eastAsia="方正仿宋_GBK"/>
          <w:szCs w:val="32"/>
        </w:rPr>
        <w:t>组织实施好产教融合发展工程</w:t>
      </w:r>
      <w:r>
        <w:rPr>
          <w:rFonts w:hint="eastAsia" w:ascii="仿宋_GB2312" w:eastAsia="仿宋_GB2312"/>
          <w:snapToGrid w:val="0"/>
          <w:kern w:val="0"/>
          <w:szCs w:val="32"/>
        </w:rPr>
        <w:t>。经济和信息化部门配合教育、人力资源社会保障部门，建立职业教育校企合作信息化服务平台，完善产教融合、校企合作的对话协作机制；财政、税务等部门负责按规定落实职业教育校企合作财政税收政策。</w:t>
      </w:r>
    </w:p>
    <w:p>
      <w:pPr>
        <w:adjustRightInd w:val="0"/>
        <w:snapToGrid w:val="0"/>
        <w:spacing w:line="560" w:lineRule="exact"/>
        <w:ind w:firstLine="667" w:firstLineChars="200"/>
        <w:rPr>
          <w:rFonts w:ascii="仿宋_GB2312" w:eastAsia="仿宋_GB2312"/>
          <w:snapToGrid w:val="0"/>
          <w:spacing w:val="6"/>
          <w:kern w:val="0"/>
          <w:szCs w:val="32"/>
        </w:rPr>
      </w:pPr>
      <w:r>
        <w:rPr>
          <w:rFonts w:hint="eastAsia" w:ascii="仿宋_GB2312" w:eastAsia="仿宋_GB2312"/>
          <w:b/>
          <w:snapToGrid w:val="0"/>
          <w:spacing w:val="6"/>
          <w:kern w:val="0"/>
          <w:szCs w:val="32"/>
        </w:rPr>
        <w:t xml:space="preserve">第五条  </w:t>
      </w:r>
      <w:r>
        <w:rPr>
          <w:rFonts w:hint="eastAsia" w:ascii="仿宋_GB2312" w:eastAsia="仿宋_GB2312"/>
          <w:snapToGrid w:val="0"/>
          <w:spacing w:val="6"/>
          <w:kern w:val="0"/>
          <w:szCs w:val="32"/>
        </w:rPr>
        <w:t>市、县级人民政府应当统筹协调本地区校企合作的资源配置、经费保障、督导评估等工作；搭建校企合作平台，完善企业经营管理和技术人员与职业院校管理干部、专业教师交流制度；通过授权委托、购买服务等方式，把适宜行业组织承担的职责交给行业组织、给予政策支持并强化服务管理；发挥行业组织在校企合作中的纽带作用，增强企业参与校企合作的社会责任感和荣誉感；运用财政、税收等手段，调动企业参与校企合作的积极性。</w:t>
      </w:r>
    </w:p>
    <w:p>
      <w:pPr>
        <w:adjustRightInd w:val="0"/>
        <w:snapToGrid w:val="0"/>
        <w:spacing w:line="560" w:lineRule="exact"/>
        <w:ind w:firstLine="667" w:firstLineChars="200"/>
        <w:rPr>
          <w:rFonts w:ascii="仿宋_GB2312" w:eastAsia="仿宋_GB2312"/>
          <w:snapToGrid w:val="0"/>
          <w:kern w:val="0"/>
          <w:szCs w:val="32"/>
        </w:rPr>
      </w:pPr>
      <w:r>
        <w:rPr>
          <w:rFonts w:hint="eastAsia" w:ascii="仿宋_GB2312" w:eastAsia="仿宋_GB2312"/>
          <w:b/>
          <w:snapToGrid w:val="0"/>
          <w:spacing w:val="6"/>
          <w:kern w:val="0"/>
          <w:szCs w:val="32"/>
        </w:rPr>
        <w:t>第六条</w:t>
      </w:r>
      <w:r>
        <w:rPr>
          <w:rFonts w:hint="eastAsia" w:ascii="仿宋_GB2312" w:eastAsia="仿宋_GB2312"/>
          <w:snapToGrid w:val="0"/>
          <w:kern w:val="0"/>
          <w:szCs w:val="32"/>
        </w:rPr>
        <w:t xml:space="preserve">  职业院校应当制定校企合作规划，建立适应开展校企合作的教育教学组织方式和管理制度，设立校企合作机构，改革教学内容和方式方法、健全质量评价制度，为合作企业的人力资源开发和技术升级提供支持与服务，增强服务企业特别是中小微企业的技术和产品研发的能力。在设置专业，制定培养方案、课程标准等工作中，应当充分听取合作企业的意见。</w:t>
      </w:r>
    </w:p>
    <w:p>
      <w:pPr>
        <w:adjustRightInd w:val="0"/>
        <w:snapToGrid w:val="0"/>
        <w:spacing w:line="560" w:lineRule="exact"/>
        <w:ind w:firstLine="667" w:firstLineChars="200"/>
        <w:rPr>
          <w:rFonts w:ascii="仿宋_GB2312" w:eastAsia="仿宋_GB2312"/>
          <w:snapToGrid w:val="0"/>
          <w:kern w:val="0"/>
          <w:szCs w:val="32"/>
        </w:rPr>
      </w:pPr>
      <w:r>
        <w:rPr>
          <w:rFonts w:hint="eastAsia" w:ascii="仿宋_GB2312" w:eastAsia="仿宋_GB2312"/>
          <w:b/>
          <w:snapToGrid w:val="0"/>
          <w:spacing w:val="6"/>
          <w:kern w:val="0"/>
          <w:szCs w:val="32"/>
        </w:rPr>
        <w:t>第七条</w:t>
      </w:r>
      <w:r>
        <w:rPr>
          <w:rFonts w:hint="eastAsia" w:ascii="仿宋_GB2312" w:eastAsia="仿宋_GB2312"/>
          <w:snapToGrid w:val="0"/>
          <w:kern w:val="0"/>
          <w:szCs w:val="32"/>
        </w:rPr>
        <w:t xml:space="preserve">  职业院校和企业开展合作，应当通过平等协商依法签订合作协议。合作协议应当明确规定合作的目标任务、内容形式、权利义务等必要事项，并根据合作的内容，合理确定协议履行期限，其中企业接收实习生的，合作期限应当不低于3年。</w:t>
      </w:r>
    </w:p>
    <w:p>
      <w:pPr>
        <w:adjustRightInd w:val="0"/>
        <w:snapToGrid w:val="0"/>
        <w:spacing w:line="560" w:lineRule="exact"/>
        <w:ind w:firstLine="667" w:firstLineChars="200"/>
        <w:rPr>
          <w:rFonts w:hint="eastAsia" w:ascii="仿宋_GB2312" w:eastAsia="仿宋_GB2312"/>
          <w:snapToGrid w:val="0"/>
          <w:kern w:val="0"/>
          <w:szCs w:val="32"/>
        </w:rPr>
      </w:pPr>
      <w:r>
        <w:rPr>
          <w:rFonts w:hint="eastAsia" w:ascii="仿宋_GB2312" w:eastAsia="仿宋_GB2312"/>
          <w:b/>
          <w:snapToGrid w:val="0"/>
          <w:spacing w:val="6"/>
          <w:kern w:val="0"/>
          <w:szCs w:val="32"/>
        </w:rPr>
        <w:t>第八条</w:t>
      </w:r>
      <w:r>
        <w:rPr>
          <w:rFonts w:hint="eastAsia" w:ascii="仿宋_GB2312" w:eastAsia="仿宋_GB2312"/>
          <w:snapToGrid w:val="0"/>
          <w:kern w:val="0"/>
          <w:szCs w:val="32"/>
        </w:rPr>
        <w:t xml:space="preserve">  职业院校与企业就学生参加跟岗实习、顶岗实习和学徒培养达成合作协议的，应当按照国家有关规定，依法签订学校、企业、学生三方协议，并明确学校与企业在保障学生合法权益方面的责任。</w:t>
      </w:r>
    </w:p>
    <w:p>
      <w:pPr>
        <w:adjustRightInd w:val="0"/>
        <w:snapToGrid w:val="0"/>
        <w:spacing w:line="560" w:lineRule="exact"/>
        <w:ind w:firstLine="640" w:firstLineChars="200"/>
        <w:rPr>
          <w:rFonts w:hint="eastAsia" w:ascii="仿宋_GB2312" w:eastAsia="仿宋_GB2312"/>
          <w:snapToGrid w:val="0"/>
          <w:kern w:val="0"/>
          <w:szCs w:val="32"/>
        </w:rPr>
      </w:pPr>
      <w:r>
        <w:rPr>
          <w:rFonts w:hint="eastAsia" w:ascii="仿宋_GB2312" w:eastAsia="仿宋_GB2312"/>
          <w:snapToGrid w:val="0"/>
          <w:kern w:val="0"/>
          <w:szCs w:val="32"/>
        </w:rPr>
        <w:t>企业应当依法依规保障顶岗实习学生或者学徒的基本劳动权益，并按照有关规定及时足额支付报酬，任何单位和个人不得克扣。</w:t>
      </w:r>
    </w:p>
    <w:p>
      <w:pPr>
        <w:adjustRightInd w:val="0"/>
        <w:snapToGrid w:val="0"/>
        <w:spacing w:line="560" w:lineRule="exact"/>
        <w:ind w:firstLine="640" w:firstLineChars="200"/>
        <w:rPr>
          <w:rFonts w:hint="eastAsia" w:ascii="仿宋_GB2312" w:eastAsia="仿宋_GB2312"/>
          <w:snapToGrid w:val="0"/>
          <w:kern w:val="0"/>
          <w:szCs w:val="32"/>
        </w:rPr>
      </w:pPr>
      <w:r>
        <w:rPr>
          <w:rFonts w:hint="eastAsia" w:ascii="仿宋_GB2312" w:eastAsia="仿宋_GB2312"/>
          <w:snapToGrid w:val="0"/>
          <w:kern w:val="0"/>
          <w:szCs w:val="32"/>
        </w:rPr>
        <w:t>职业院校和实习单位应根据有关规定，为实习学生投保实习责任保险，健全学生权益保障和风险分担机制。</w:t>
      </w:r>
    </w:p>
    <w:p>
      <w:pPr>
        <w:adjustRightInd w:val="0"/>
        <w:snapToGrid w:val="0"/>
        <w:spacing w:line="560" w:lineRule="exact"/>
        <w:ind w:firstLine="667" w:firstLineChars="200"/>
        <w:rPr>
          <w:rFonts w:hint="eastAsia" w:ascii="仿宋_GB2312" w:eastAsia="仿宋_GB2312"/>
          <w:snapToGrid w:val="0"/>
          <w:kern w:val="0"/>
          <w:szCs w:val="32"/>
        </w:rPr>
      </w:pPr>
      <w:r>
        <w:rPr>
          <w:rFonts w:hint="eastAsia" w:ascii="仿宋_GB2312" w:eastAsia="仿宋_GB2312"/>
          <w:b/>
          <w:snapToGrid w:val="0"/>
          <w:spacing w:val="6"/>
          <w:kern w:val="0"/>
          <w:szCs w:val="32"/>
        </w:rPr>
        <w:t>第九条</w:t>
      </w:r>
      <w:r>
        <w:rPr>
          <w:rFonts w:hint="eastAsia" w:ascii="仿宋_GB2312" w:eastAsia="仿宋_GB2312"/>
          <w:snapToGrid w:val="0"/>
          <w:kern w:val="0"/>
          <w:szCs w:val="32"/>
        </w:rPr>
        <w:t xml:space="preserve">  实行企业经营管理、技术人员与学校领导、骨干教师相互兼职制度。经所在学校或企业同意，职业学校教师和管理人员、企业经营管理和技术人员根据合作协议，分别到企业、职业学校兼职的，可根据有关规定和双方约定确定薪酬。企业要保障到职业院校兼职技术人员的授课时间，并给予其本企业在岗人员待遇；职业院校和企业协商给予企业来校兼职的技术人员相应的报酬和其他应有</w:t>
      </w:r>
      <w:r>
        <w:rPr>
          <w:rFonts w:ascii="仿宋_GB2312" w:eastAsia="仿宋_GB2312"/>
          <w:snapToGrid w:val="0"/>
          <w:kern w:val="0"/>
          <w:szCs w:val="32"/>
        </w:rPr>
        <w:t>的</w:t>
      </w:r>
      <w:r>
        <w:rPr>
          <w:rFonts w:hint="eastAsia" w:ascii="仿宋_GB2312" w:eastAsia="仿宋_GB2312"/>
          <w:snapToGrid w:val="0"/>
          <w:kern w:val="0"/>
          <w:szCs w:val="32"/>
        </w:rPr>
        <w:t>待遇。</w:t>
      </w:r>
    </w:p>
    <w:p>
      <w:pPr>
        <w:adjustRightInd w:val="0"/>
        <w:snapToGrid w:val="0"/>
        <w:spacing w:line="560" w:lineRule="exact"/>
        <w:ind w:firstLine="667" w:firstLineChars="200"/>
        <w:rPr>
          <w:rFonts w:hint="eastAsia" w:ascii="仿宋_GB2312" w:eastAsia="仿宋_GB2312"/>
          <w:snapToGrid w:val="0"/>
          <w:kern w:val="0"/>
          <w:szCs w:val="32"/>
        </w:rPr>
      </w:pPr>
      <w:r>
        <w:rPr>
          <w:rFonts w:hint="eastAsia" w:ascii="仿宋_GB2312" w:eastAsia="仿宋_GB2312"/>
          <w:b/>
          <w:snapToGrid w:val="0"/>
          <w:spacing w:val="6"/>
          <w:kern w:val="0"/>
          <w:szCs w:val="32"/>
        </w:rPr>
        <w:t>第十条</w:t>
      </w:r>
      <w:r>
        <w:rPr>
          <w:rFonts w:hint="eastAsia" w:ascii="仿宋_GB2312" w:eastAsia="仿宋_GB2312"/>
          <w:snapToGrid w:val="0"/>
          <w:kern w:val="0"/>
          <w:szCs w:val="32"/>
        </w:rPr>
        <w:t xml:space="preserve">  </w:t>
      </w:r>
      <w:r>
        <w:rPr>
          <w:rFonts w:hint="eastAsia" w:ascii="仿宋_GB2312" w:hAnsi="Calibri" w:eastAsia="仿宋_GB2312"/>
          <w:szCs w:val="32"/>
        </w:rPr>
        <w:t>企业和行业组织可通过独资、参股、入股等多种形式举办或参与举办职业教育</w:t>
      </w:r>
      <w:r>
        <w:rPr>
          <w:rFonts w:hint="eastAsia" w:ascii="仿宋_GB2312" w:eastAsia="仿宋_GB2312"/>
          <w:snapToGrid w:val="0"/>
          <w:kern w:val="0"/>
          <w:szCs w:val="32"/>
        </w:rPr>
        <w:t>。规模以上企业要有机构或人员组织实施职工教育培训、对接职业院校，并按照不低于企业职工岗位5%比例设立学生实习和教师实践岗位；鼓励其在职业院校设置职工培训和继续教育机构。企业职工培训和继续教育的学习成果，可以依照有关规定和办法与职业院校教育实现互认和衔接。</w:t>
      </w:r>
    </w:p>
    <w:p>
      <w:pPr>
        <w:widowControl/>
        <w:spacing w:line="560" w:lineRule="exact"/>
        <w:ind w:firstLine="657" w:firstLineChars="197"/>
        <w:rPr>
          <w:rFonts w:ascii="仿宋_GB2312" w:eastAsia="仿宋_GB2312"/>
          <w:snapToGrid w:val="0"/>
          <w:spacing w:val="-18"/>
          <w:kern w:val="0"/>
          <w:szCs w:val="32"/>
        </w:rPr>
      </w:pPr>
      <w:r>
        <w:rPr>
          <w:rFonts w:hint="eastAsia" w:ascii="仿宋_GB2312" w:eastAsia="仿宋_GB2312"/>
          <w:b/>
          <w:snapToGrid w:val="0"/>
          <w:spacing w:val="6"/>
          <w:kern w:val="0"/>
          <w:szCs w:val="32"/>
        </w:rPr>
        <w:t xml:space="preserve">第十一条 </w:t>
      </w:r>
      <w:r>
        <w:rPr>
          <w:rFonts w:hint="eastAsia" w:ascii="仿宋_GB2312" w:eastAsia="仿宋_GB2312"/>
          <w:snapToGrid w:val="0"/>
          <w:kern w:val="0"/>
          <w:szCs w:val="32"/>
        </w:rPr>
        <w:t>行业主管部门和行业组织应当加强行业指导能力建设，充分发挥行业资源、技术、信息等优势, 履行好发布行业人才需求、推进校企合作、参与指导教育教学、开展质量评价等职责。鼓励行业主管部门或行业组织成立行业职业教育教学指导委员会,建立由行业、企业专家参与的专业教学指导委员会,根据企业生产技术、生产工艺、生产方法优化教学内容,参与专</w:t>
      </w:r>
      <w:r>
        <w:rPr>
          <w:rFonts w:hint="eastAsia" w:ascii="仿宋_GB2312" w:eastAsia="仿宋_GB2312"/>
          <w:snapToGrid w:val="0"/>
          <w:spacing w:val="-18"/>
          <w:kern w:val="0"/>
          <w:szCs w:val="32"/>
        </w:rPr>
        <w:t>业设置、课程开发和质量评价,实现专业课程与职业技能鉴定标准对接。</w:t>
      </w:r>
    </w:p>
    <w:p>
      <w:pPr>
        <w:tabs>
          <w:tab w:val="left" w:pos="7560"/>
        </w:tabs>
        <w:adjustRightInd w:val="0"/>
        <w:snapToGrid w:val="0"/>
        <w:spacing w:line="560" w:lineRule="exact"/>
        <w:ind w:firstLine="624"/>
        <w:rPr>
          <w:rFonts w:hint="eastAsia" w:ascii="仿宋_GB2312" w:eastAsia="仿宋_GB2312"/>
          <w:snapToGrid w:val="0"/>
          <w:spacing w:val="6"/>
          <w:kern w:val="0"/>
          <w:szCs w:val="32"/>
        </w:rPr>
      </w:pPr>
      <w:r>
        <w:rPr>
          <w:rFonts w:hint="eastAsia" w:ascii="仿宋_GB2312" w:eastAsia="仿宋_GB2312"/>
          <w:b/>
          <w:snapToGrid w:val="0"/>
          <w:spacing w:val="6"/>
          <w:kern w:val="0"/>
          <w:szCs w:val="32"/>
        </w:rPr>
        <w:t xml:space="preserve">第十二条  </w:t>
      </w:r>
      <w:r>
        <w:rPr>
          <w:rFonts w:hint="eastAsia" w:ascii="仿宋_GB2312" w:eastAsia="仿宋_GB2312"/>
          <w:snapToGrid w:val="0"/>
          <w:spacing w:val="6"/>
          <w:kern w:val="0"/>
          <w:szCs w:val="32"/>
        </w:rPr>
        <w:t>市、县政府及职业院校主管部门鼓励支持院校与相关企业、行业、科研机构及社会组织以组建职业教育集团（</w:t>
      </w:r>
      <w:r>
        <w:rPr>
          <w:rFonts w:ascii="仿宋_GB2312" w:eastAsia="仿宋_GB2312"/>
          <w:snapToGrid w:val="0"/>
          <w:spacing w:val="6"/>
          <w:kern w:val="0"/>
          <w:szCs w:val="32"/>
        </w:rPr>
        <w:t>联盟</w:t>
      </w:r>
      <w:r>
        <w:rPr>
          <w:rFonts w:hint="eastAsia" w:ascii="仿宋_GB2312" w:eastAsia="仿宋_GB2312"/>
          <w:snapToGrid w:val="0"/>
          <w:spacing w:val="6"/>
          <w:kern w:val="0"/>
          <w:szCs w:val="32"/>
        </w:rPr>
        <w:t>）等方式，建立长期、稳定合作关系；鼓励支持院校和省内企业参与国家和“长三角”跨区域职教集团（联盟）。</w:t>
      </w:r>
    </w:p>
    <w:p>
      <w:pPr>
        <w:tabs>
          <w:tab w:val="left" w:pos="7560"/>
        </w:tabs>
        <w:adjustRightInd w:val="0"/>
        <w:snapToGrid w:val="0"/>
        <w:spacing w:line="560" w:lineRule="exact"/>
        <w:ind w:firstLine="664" w:firstLineChars="200"/>
        <w:rPr>
          <w:rFonts w:hint="eastAsia" w:ascii="仿宋_GB2312" w:eastAsia="仿宋_GB2312"/>
          <w:snapToGrid w:val="0"/>
          <w:spacing w:val="6"/>
          <w:kern w:val="0"/>
          <w:szCs w:val="32"/>
        </w:rPr>
      </w:pPr>
      <w:r>
        <w:rPr>
          <w:rFonts w:hint="eastAsia" w:ascii="仿宋_GB2312" w:eastAsia="仿宋_GB2312"/>
          <w:snapToGrid w:val="0"/>
          <w:spacing w:val="6"/>
          <w:kern w:val="0"/>
          <w:szCs w:val="32"/>
        </w:rPr>
        <w:t>职业教育集团（</w:t>
      </w:r>
      <w:r>
        <w:rPr>
          <w:rFonts w:ascii="仿宋_GB2312" w:eastAsia="仿宋_GB2312"/>
          <w:snapToGrid w:val="0"/>
          <w:spacing w:val="6"/>
          <w:kern w:val="0"/>
          <w:szCs w:val="32"/>
        </w:rPr>
        <w:t>联盟</w:t>
      </w:r>
      <w:r>
        <w:rPr>
          <w:rFonts w:hint="eastAsia" w:ascii="仿宋_GB2312" w:eastAsia="仿宋_GB2312"/>
          <w:snapToGrid w:val="0"/>
          <w:spacing w:val="6"/>
          <w:kern w:val="0"/>
          <w:szCs w:val="32"/>
        </w:rPr>
        <w:t>）应当以章程或者多方协议等方式，约定成员之间合作的方式、内容以及权利义务关系等事项，在促进教育链和产业链有机融合、服务区域发展中发挥积极作用。</w:t>
      </w:r>
    </w:p>
    <w:p>
      <w:pPr>
        <w:tabs>
          <w:tab w:val="left" w:pos="7560"/>
        </w:tabs>
        <w:adjustRightInd w:val="0"/>
        <w:snapToGrid w:val="0"/>
        <w:spacing w:line="560" w:lineRule="exact"/>
        <w:jc w:val="center"/>
        <w:rPr>
          <w:rFonts w:hint="eastAsia" w:ascii="黑体" w:hAnsi="黑体" w:eastAsia="黑体"/>
          <w:snapToGrid w:val="0"/>
          <w:kern w:val="0"/>
          <w:szCs w:val="32"/>
        </w:rPr>
      </w:pPr>
      <w:r>
        <w:rPr>
          <w:rFonts w:hint="eastAsia" w:ascii="黑体" w:hAnsi="黑体" w:eastAsia="黑体"/>
          <w:snapToGrid w:val="0"/>
          <w:kern w:val="0"/>
          <w:szCs w:val="32"/>
        </w:rPr>
        <w:t>第三章 促进与保障</w:t>
      </w:r>
    </w:p>
    <w:p>
      <w:pPr>
        <w:adjustRightInd w:val="0"/>
        <w:snapToGrid w:val="0"/>
        <w:spacing w:line="560" w:lineRule="exact"/>
        <w:ind w:firstLine="667" w:firstLineChars="200"/>
        <w:rPr>
          <w:rFonts w:ascii="仿宋_GB2312" w:eastAsia="仿宋_GB2312"/>
          <w:snapToGrid w:val="0"/>
          <w:kern w:val="0"/>
          <w:szCs w:val="32"/>
        </w:rPr>
      </w:pPr>
      <w:r>
        <w:rPr>
          <w:rFonts w:hint="eastAsia" w:ascii="仿宋_GB2312" w:eastAsia="仿宋_GB2312"/>
          <w:b/>
          <w:snapToGrid w:val="0"/>
          <w:spacing w:val="6"/>
          <w:kern w:val="0"/>
          <w:szCs w:val="32"/>
        </w:rPr>
        <w:t>第十三条</w:t>
      </w:r>
      <w:r>
        <w:rPr>
          <w:rFonts w:hint="eastAsia" w:ascii="仿宋_GB2312" w:eastAsia="仿宋_GB2312"/>
          <w:snapToGrid w:val="0"/>
          <w:kern w:val="0"/>
          <w:szCs w:val="32"/>
        </w:rPr>
        <w:t xml:space="preserve">  各级人民政府有关部门在制定产业发展规划、产业激励政策、脱贫攻坚规划时，应当将促进企业参与校企合作、培养技术技能人才作为重要内容，加强指导、支持和服务。</w:t>
      </w:r>
      <w:bookmarkStart w:id="0" w:name="_Toc436309620"/>
      <w:bookmarkEnd w:id="0"/>
      <w:bookmarkStart w:id="1" w:name="_Toc436309619"/>
      <w:bookmarkEnd w:id="1"/>
      <w:bookmarkStart w:id="2" w:name="_Toc436309618"/>
      <w:bookmarkEnd w:id="2"/>
      <w:bookmarkStart w:id="3" w:name="_Toc436309617"/>
      <w:bookmarkEnd w:id="3"/>
      <w:bookmarkStart w:id="4" w:name="_Toc436309621"/>
      <w:bookmarkEnd w:id="4"/>
      <w:r>
        <w:rPr>
          <w:rFonts w:hint="eastAsia" w:ascii="仿宋_GB2312" w:eastAsia="仿宋_GB2312"/>
          <w:snapToGrid w:val="0"/>
          <w:kern w:val="0"/>
          <w:szCs w:val="32"/>
        </w:rPr>
        <w:t>支持教育行政部门会同各有关部门定期举办职业教育校企合作对接活动，完善职业教育产教融合、校企合作的对话协作机制。</w:t>
      </w:r>
    </w:p>
    <w:p>
      <w:pPr>
        <w:adjustRightInd w:val="0"/>
        <w:snapToGrid w:val="0"/>
        <w:spacing w:line="560" w:lineRule="exact"/>
        <w:ind w:firstLine="667" w:firstLineChars="200"/>
        <w:rPr>
          <w:rFonts w:ascii="仿宋_GB2312" w:eastAsia="仿宋_GB2312"/>
          <w:snapToGrid w:val="0"/>
          <w:kern w:val="0"/>
          <w:szCs w:val="32"/>
        </w:rPr>
      </w:pPr>
      <w:r>
        <w:rPr>
          <w:rFonts w:hint="eastAsia" w:ascii="仿宋_GB2312" w:eastAsia="仿宋_GB2312"/>
          <w:b/>
          <w:snapToGrid w:val="0"/>
          <w:spacing w:val="6"/>
          <w:kern w:val="0"/>
          <w:szCs w:val="32"/>
        </w:rPr>
        <w:t xml:space="preserve">第十四条  </w:t>
      </w:r>
      <w:r>
        <w:rPr>
          <w:rFonts w:hint="eastAsia" w:ascii="仿宋_GB2312" w:eastAsia="仿宋_GB2312"/>
          <w:snapToGrid w:val="0"/>
          <w:kern w:val="0"/>
          <w:szCs w:val="32"/>
        </w:rPr>
        <w:t>校企合作是衡量职业院校办学水平的基本指标。各级教育行政部门要在院校设置、专业审批、招生计划、教学评价、教师配备、项目支持、学校评价、人员考核等方面做出相应要求。对校企合作设置的适应就业市场需求的新专业，予以支持；鼓励和支持职业院校与企业合作开设专业，制定培养方案。</w:t>
      </w:r>
    </w:p>
    <w:p>
      <w:pPr>
        <w:adjustRightInd w:val="0"/>
        <w:snapToGrid w:val="0"/>
        <w:spacing w:line="560" w:lineRule="exact"/>
        <w:ind w:firstLine="667" w:firstLineChars="200"/>
        <w:rPr>
          <w:rFonts w:hint="eastAsia" w:ascii="仿宋_GB2312" w:eastAsia="仿宋_GB2312"/>
          <w:snapToGrid w:val="0"/>
          <w:kern w:val="0"/>
          <w:szCs w:val="32"/>
        </w:rPr>
      </w:pPr>
      <w:r>
        <w:rPr>
          <w:rFonts w:hint="eastAsia" w:ascii="仿宋_GB2312" w:eastAsia="仿宋_GB2312"/>
          <w:b/>
          <w:snapToGrid w:val="0"/>
          <w:spacing w:val="6"/>
          <w:kern w:val="0"/>
          <w:szCs w:val="32"/>
        </w:rPr>
        <w:t xml:space="preserve">第十五条 </w:t>
      </w:r>
      <w:r>
        <w:rPr>
          <w:rFonts w:hint="eastAsia" w:ascii="仿宋_GB2312" w:eastAsia="仿宋_GB2312"/>
          <w:snapToGrid w:val="0"/>
          <w:kern w:val="0"/>
          <w:szCs w:val="32"/>
        </w:rPr>
        <w:t xml:space="preserve"> 鼓励开展产教融合型企业建设试点，对深度参与校企合作，行为规范、成效显著、具有较大影响力的企业，按照国家有关规定予以表彰和相应政策支持。把企业参与校企合作的情况，作为服务型制造示范企业及其他有关示范企业评选的重要指标。</w:t>
      </w:r>
    </w:p>
    <w:p>
      <w:pPr>
        <w:adjustRightInd w:val="0"/>
        <w:snapToGrid w:val="0"/>
        <w:spacing w:line="560" w:lineRule="exact"/>
        <w:ind w:firstLine="640" w:firstLineChars="200"/>
        <w:rPr>
          <w:rFonts w:ascii="仿宋_GB2312" w:eastAsia="仿宋_GB2312"/>
          <w:snapToGrid w:val="0"/>
          <w:kern w:val="0"/>
          <w:szCs w:val="32"/>
        </w:rPr>
      </w:pPr>
      <w:r>
        <w:rPr>
          <w:rFonts w:hint="eastAsia" w:ascii="仿宋_GB2312" w:eastAsia="仿宋_GB2312"/>
          <w:snapToGrid w:val="0"/>
          <w:kern w:val="0"/>
          <w:szCs w:val="32"/>
        </w:rPr>
        <w:t>定期开展“职业教育校企合作示范单位”遴选活动，树立校企合作示范典型。</w:t>
      </w:r>
    </w:p>
    <w:p>
      <w:pPr>
        <w:spacing w:line="560" w:lineRule="exact"/>
        <w:ind w:firstLine="667" w:firstLineChars="200"/>
        <w:rPr>
          <w:rFonts w:hint="eastAsia" w:ascii="仿宋_GB2312" w:eastAsia="仿宋_GB2312"/>
          <w:snapToGrid w:val="0"/>
          <w:spacing w:val="6"/>
          <w:kern w:val="0"/>
          <w:szCs w:val="32"/>
        </w:rPr>
      </w:pPr>
      <w:r>
        <w:rPr>
          <w:rFonts w:hint="eastAsia" w:ascii="仿宋_GB2312" w:eastAsia="仿宋_GB2312"/>
          <w:b/>
          <w:snapToGrid w:val="0"/>
          <w:spacing w:val="6"/>
          <w:kern w:val="0"/>
          <w:szCs w:val="32"/>
        </w:rPr>
        <w:t xml:space="preserve">第十六条  </w:t>
      </w:r>
      <w:r>
        <w:rPr>
          <w:rFonts w:hint="eastAsia" w:ascii="仿宋_GB2312" w:eastAsia="仿宋_GB2312"/>
          <w:snapToGrid w:val="0"/>
          <w:spacing w:val="6"/>
          <w:kern w:val="0"/>
          <w:szCs w:val="32"/>
        </w:rPr>
        <w:t xml:space="preserve">鼓励各地通过政府和社会资本合作、购买服务等形式支持校企合作。鼓励采取竞争性方式选择社会资本，建设或者支持企业、学校建设公共实习实训、创新创业基地、研发实践课程、教学资源等公共服务项目。按规定落实财税用地等政策，积极支持职业教育发展和企业参与办学。 </w:t>
      </w:r>
    </w:p>
    <w:p>
      <w:pPr>
        <w:spacing w:line="560" w:lineRule="exact"/>
        <w:ind w:firstLine="664" w:firstLineChars="200"/>
        <w:rPr>
          <w:rFonts w:ascii="仿宋_GB2312" w:eastAsia="仿宋_GB2312"/>
          <w:snapToGrid w:val="0"/>
          <w:spacing w:val="6"/>
          <w:kern w:val="0"/>
          <w:szCs w:val="32"/>
        </w:rPr>
      </w:pPr>
      <w:r>
        <w:rPr>
          <w:rFonts w:hint="eastAsia" w:ascii="仿宋_GB2312" w:eastAsia="仿宋_GB2312"/>
          <w:snapToGrid w:val="0"/>
          <w:spacing w:val="6"/>
          <w:kern w:val="0"/>
          <w:szCs w:val="32"/>
        </w:rPr>
        <w:t xml:space="preserve">鼓励金融机构依法依规审慎授信管理，为校企合作提供相关信贷和融资支持 </w:t>
      </w:r>
    </w:p>
    <w:p>
      <w:pPr>
        <w:adjustRightInd w:val="0"/>
        <w:snapToGrid w:val="0"/>
        <w:spacing w:line="560" w:lineRule="exact"/>
        <w:ind w:firstLine="667" w:firstLineChars="200"/>
        <w:rPr>
          <w:rFonts w:hint="eastAsia" w:ascii="仿宋_GB2312" w:eastAsia="仿宋_GB2312"/>
          <w:snapToGrid w:val="0"/>
          <w:kern w:val="0"/>
          <w:szCs w:val="32"/>
        </w:rPr>
      </w:pPr>
      <w:r>
        <w:rPr>
          <w:rFonts w:hint="eastAsia" w:ascii="仿宋_GB2312" w:eastAsia="仿宋_GB2312"/>
          <w:b/>
          <w:snapToGrid w:val="0"/>
          <w:spacing w:val="6"/>
          <w:kern w:val="0"/>
          <w:szCs w:val="32"/>
        </w:rPr>
        <w:t>第十七条</w:t>
      </w:r>
      <w:r>
        <w:rPr>
          <w:rFonts w:hint="eastAsia" w:ascii="仿宋_GB2312" w:eastAsia="仿宋_GB2312"/>
          <w:snapToGrid w:val="0"/>
          <w:kern w:val="0"/>
          <w:szCs w:val="32"/>
        </w:rPr>
        <w:t xml:space="preserve">  企业因接受学生实习所实际发生的与取得收入有关的合理支出，以及企业发生的职工教育经费支出，依法在计算应纳税所得额时扣除。</w:t>
      </w:r>
    </w:p>
    <w:p>
      <w:pPr>
        <w:adjustRightInd w:val="0"/>
        <w:snapToGrid w:val="0"/>
        <w:spacing w:line="560" w:lineRule="exact"/>
        <w:ind w:firstLine="640" w:firstLineChars="200"/>
        <w:rPr>
          <w:rFonts w:hint="eastAsia" w:ascii="仿宋_GB2312" w:eastAsia="仿宋_GB2312"/>
          <w:snapToGrid w:val="0"/>
          <w:kern w:val="0"/>
          <w:szCs w:val="32"/>
        </w:rPr>
      </w:pPr>
      <w:r>
        <w:rPr>
          <w:rFonts w:hint="eastAsia" w:ascii="仿宋_GB2312" w:eastAsia="仿宋_GB2312"/>
          <w:snapToGrid w:val="0"/>
          <w:kern w:val="0"/>
          <w:szCs w:val="32"/>
        </w:rPr>
        <w:t>企业发生的职工教育经费支出，不超过工资薪金总额8%的部分，准予在计算企业所得税应纳税所得额时扣除；超过部分，准予在以后纳税年度结转扣除。</w:t>
      </w:r>
    </w:p>
    <w:p>
      <w:pPr>
        <w:adjustRightInd w:val="0"/>
        <w:snapToGrid w:val="0"/>
        <w:spacing w:line="560" w:lineRule="exact"/>
        <w:ind w:firstLine="667" w:firstLineChars="200"/>
        <w:rPr>
          <w:rFonts w:hint="eastAsia" w:ascii="仿宋_GB2312" w:eastAsia="仿宋_GB2312"/>
          <w:snapToGrid w:val="0"/>
          <w:spacing w:val="6"/>
          <w:kern w:val="0"/>
          <w:szCs w:val="32"/>
        </w:rPr>
      </w:pPr>
      <w:r>
        <w:rPr>
          <w:rFonts w:hint="eastAsia" w:ascii="仿宋_GB2312" w:eastAsia="仿宋_GB2312"/>
          <w:b/>
          <w:snapToGrid w:val="0"/>
          <w:spacing w:val="6"/>
          <w:kern w:val="0"/>
          <w:szCs w:val="32"/>
        </w:rPr>
        <w:t xml:space="preserve">第十八条  </w:t>
      </w:r>
      <w:r>
        <w:rPr>
          <w:rFonts w:hint="eastAsia" w:ascii="仿宋_GB2312" w:eastAsia="仿宋_GB2312"/>
          <w:snapToGrid w:val="0"/>
          <w:spacing w:val="6"/>
          <w:kern w:val="0"/>
          <w:szCs w:val="32"/>
        </w:rPr>
        <w:t>县级以上人民政府对校企合作成效显著的企业，可以按规定给予相应的优惠政策；鼓励支持职业院校通过场地、设备租赁等方式与企业共建生产型实训基地，并按规定给予相应的政策优惠。</w:t>
      </w:r>
    </w:p>
    <w:p>
      <w:pPr>
        <w:adjustRightInd w:val="0"/>
        <w:snapToGrid w:val="0"/>
        <w:spacing w:line="560" w:lineRule="exact"/>
        <w:ind w:firstLine="667" w:firstLineChars="200"/>
        <w:rPr>
          <w:rFonts w:hint="eastAsia" w:ascii="仿宋_GB2312" w:eastAsia="仿宋_GB2312"/>
          <w:snapToGrid w:val="0"/>
          <w:kern w:val="0"/>
          <w:szCs w:val="32"/>
        </w:rPr>
      </w:pPr>
      <w:r>
        <w:rPr>
          <w:rFonts w:hint="eastAsia" w:ascii="仿宋_GB2312" w:eastAsia="仿宋_GB2312"/>
          <w:b/>
          <w:snapToGrid w:val="0"/>
          <w:spacing w:val="6"/>
          <w:kern w:val="0"/>
          <w:szCs w:val="32"/>
        </w:rPr>
        <w:t xml:space="preserve">第十九条  </w:t>
      </w:r>
      <w:r>
        <w:rPr>
          <w:rFonts w:hint="eastAsia" w:ascii="仿宋_GB2312" w:eastAsia="仿宋_GB2312"/>
          <w:snapToGrid w:val="0"/>
          <w:kern w:val="0"/>
          <w:szCs w:val="32"/>
        </w:rPr>
        <w:t>各级人民政府教育、人力资源社会保障等部门应当采取措施，促进职业院校与企业人才的合理流动、有效配置。</w:t>
      </w:r>
    </w:p>
    <w:p>
      <w:pPr>
        <w:adjustRightInd w:val="0"/>
        <w:snapToGrid w:val="0"/>
        <w:spacing w:line="560" w:lineRule="exact"/>
        <w:ind w:firstLine="640" w:firstLineChars="200"/>
        <w:rPr>
          <w:rFonts w:hint="eastAsia" w:ascii="仿宋_GB2312" w:eastAsia="仿宋_GB2312"/>
          <w:snapToGrid w:val="0"/>
          <w:kern w:val="0"/>
          <w:szCs w:val="32"/>
        </w:rPr>
      </w:pPr>
      <w:r>
        <w:rPr>
          <w:rFonts w:hint="eastAsia" w:ascii="仿宋_GB2312" w:eastAsia="仿宋_GB2312"/>
          <w:snapToGrid w:val="0"/>
          <w:kern w:val="0"/>
          <w:szCs w:val="32"/>
        </w:rPr>
        <w:t>落实职业院校编制内聘用兼职教师财政支持政策。由行业和各市推荐，面向企业、社会建立经营管理人员、专业技术人员、高技能人才省级专家库，从库内聘用兼职教师不低于学校专任教师总数的20%。上述企业人员在校企合作中取得的教育教学成果，可视同相应的技术或科研成果，按规定予以奖励。</w:t>
      </w:r>
    </w:p>
    <w:p>
      <w:pPr>
        <w:adjustRightInd w:val="0"/>
        <w:snapToGrid w:val="0"/>
        <w:spacing w:line="560" w:lineRule="exact"/>
        <w:ind w:firstLine="640" w:firstLineChars="200"/>
        <w:rPr>
          <w:rFonts w:hint="eastAsia" w:ascii="仿宋_GB2312" w:eastAsia="仿宋_GB2312"/>
          <w:snapToGrid w:val="0"/>
          <w:kern w:val="0"/>
          <w:szCs w:val="32"/>
        </w:rPr>
      </w:pPr>
      <w:r>
        <w:rPr>
          <w:rFonts w:hint="eastAsia" w:ascii="仿宋_GB2312" w:eastAsia="仿宋_GB2312"/>
          <w:snapToGrid w:val="0"/>
          <w:kern w:val="0"/>
          <w:szCs w:val="32"/>
        </w:rPr>
        <w:t>公办职业院校重点专业从企业引进教师，符合以下条件的，比照高层次人才引进方式，开辟绿色通道：高职院校根据教学工作需要，引进在企业长期担任技术技能岗位中高层职务，具有一定教学经历和对应专业研究生学位，拥有副高级以上专业技术职务任职资格或技师及以上职业资格的人员；技工院校和中职学校引进对象为六类人员，具有高级技师职业资格且有3年以上相应岗位工作经历的企业高级技能人才、入选世界技能大赛中国队队员、中华技能大奖获得者、全国职业院校技能大赛一等奖获得者、全国技术能手、江淮杰出工匠。</w:t>
      </w:r>
    </w:p>
    <w:p>
      <w:pPr>
        <w:adjustRightInd w:val="0"/>
        <w:snapToGrid w:val="0"/>
        <w:spacing w:line="560" w:lineRule="exact"/>
        <w:ind w:firstLine="667" w:firstLineChars="200"/>
        <w:rPr>
          <w:rFonts w:ascii="仿宋_GB2312" w:eastAsia="仿宋_GB2312"/>
          <w:snapToGrid w:val="0"/>
          <w:kern w:val="0"/>
          <w:szCs w:val="32"/>
        </w:rPr>
      </w:pPr>
      <w:r>
        <w:rPr>
          <w:rFonts w:hint="eastAsia" w:ascii="仿宋_GB2312" w:eastAsia="仿宋_GB2312"/>
          <w:b/>
          <w:snapToGrid w:val="0"/>
          <w:spacing w:val="6"/>
          <w:kern w:val="0"/>
          <w:szCs w:val="32"/>
        </w:rPr>
        <w:t>第二十条</w:t>
      </w:r>
      <w:r>
        <w:rPr>
          <w:rFonts w:hint="eastAsia" w:ascii="仿宋_GB2312" w:eastAsia="仿宋_GB2312"/>
          <w:snapToGrid w:val="0"/>
          <w:kern w:val="0"/>
          <w:szCs w:val="32"/>
        </w:rPr>
        <w:t xml:space="preserve"> </w:t>
      </w:r>
      <w:r>
        <w:rPr>
          <w:rFonts w:ascii="仿宋_GB2312" w:eastAsia="仿宋_GB2312"/>
          <w:snapToGrid w:val="0"/>
          <w:kern w:val="0"/>
          <w:szCs w:val="32"/>
        </w:rPr>
        <w:t xml:space="preserve"> </w:t>
      </w:r>
      <w:r>
        <w:rPr>
          <w:rFonts w:hint="eastAsia" w:ascii="仿宋_GB2312" w:eastAsia="仿宋_GB2312"/>
          <w:snapToGrid w:val="0"/>
          <w:kern w:val="0"/>
          <w:szCs w:val="32"/>
        </w:rPr>
        <w:t>职业院校应当将参与校企合作作为教师业绩考核的内容；具有相关企业或生产经营管理一线工作经历的专业教师在评聘和晋升职务（职称）、评优表彰等方面，同等条件下优先对待。鼓励职业院校专业课教师、文化课教师定期到企业或生产服务一线进行实践、调研，促进“双师型”教师队伍建设。</w:t>
      </w:r>
    </w:p>
    <w:p>
      <w:pPr>
        <w:spacing w:line="580" w:lineRule="exact"/>
        <w:ind w:firstLine="640" w:firstLineChars="200"/>
        <w:rPr>
          <w:rFonts w:ascii="仿宋_GB2312" w:eastAsia="仿宋_GB2312"/>
          <w:snapToGrid w:val="0"/>
          <w:kern w:val="0"/>
          <w:szCs w:val="32"/>
        </w:rPr>
      </w:pPr>
      <w:r>
        <w:rPr>
          <w:rFonts w:hint="eastAsia" w:ascii="仿宋_GB2312" w:eastAsia="仿宋_GB2312"/>
          <w:snapToGrid w:val="0"/>
          <w:kern w:val="0"/>
          <w:szCs w:val="32"/>
        </w:rPr>
        <w:t>职业院校及教师、学生拥有知识产权的技术开发、产品设计等成果，可依法依规在企业作价入股。职业院校和企业对合作开发的专利及产品，根据双方协议，享有使用、处置和收益管理的自主权。</w:t>
      </w:r>
    </w:p>
    <w:p>
      <w:pPr>
        <w:tabs>
          <w:tab w:val="left" w:pos="7560"/>
        </w:tabs>
        <w:adjustRightInd w:val="0"/>
        <w:snapToGrid w:val="0"/>
        <w:spacing w:line="580" w:lineRule="exact"/>
        <w:jc w:val="center"/>
        <w:rPr>
          <w:rFonts w:hint="eastAsia" w:ascii="黑体" w:hAnsi="黑体" w:eastAsia="黑体"/>
          <w:snapToGrid w:val="0"/>
          <w:kern w:val="0"/>
          <w:szCs w:val="32"/>
        </w:rPr>
      </w:pPr>
      <w:r>
        <w:rPr>
          <w:rFonts w:hint="eastAsia" w:ascii="黑体" w:hAnsi="黑体" w:eastAsia="黑体"/>
          <w:snapToGrid w:val="0"/>
          <w:kern w:val="0"/>
          <w:szCs w:val="32"/>
        </w:rPr>
        <w:t>第四章  监督与评价</w:t>
      </w:r>
    </w:p>
    <w:p>
      <w:pPr>
        <w:adjustRightInd w:val="0"/>
        <w:snapToGrid w:val="0"/>
        <w:spacing w:line="580" w:lineRule="exact"/>
        <w:ind w:firstLine="624"/>
        <w:rPr>
          <w:rFonts w:ascii="仿宋_GB2312" w:eastAsia="仿宋_GB2312"/>
          <w:snapToGrid w:val="0"/>
          <w:kern w:val="0"/>
          <w:szCs w:val="32"/>
        </w:rPr>
      </w:pPr>
      <w:r>
        <w:rPr>
          <w:rFonts w:hint="eastAsia" w:ascii="仿宋_GB2312" w:eastAsia="仿宋_GB2312"/>
          <w:b/>
          <w:bCs/>
          <w:snapToGrid w:val="0"/>
          <w:kern w:val="0"/>
          <w:szCs w:val="32"/>
        </w:rPr>
        <w:t>第二十一条</w:t>
      </w:r>
      <w:r>
        <w:rPr>
          <w:rFonts w:hint="eastAsia" w:ascii="仿宋_GB2312" w:eastAsia="仿宋_GB2312"/>
          <w:bCs/>
          <w:snapToGrid w:val="0"/>
          <w:kern w:val="0"/>
          <w:szCs w:val="32"/>
        </w:rPr>
        <w:t xml:space="preserve">  </w:t>
      </w:r>
      <w:r>
        <w:rPr>
          <w:rFonts w:hint="eastAsia" w:ascii="仿宋_GB2312" w:eastAsia="仿宋_GB2312"/>
          <w:snapToGrid w:val="0"/>
          <w:kern w:val="0"/>
          <w:szCs w:val="32"/>
        </w:rPr>
        <w:t>各级人民政府教育督导委员会负责对职业院校、企业、行业、政府落实职业教育校企合作职责的情况进行专项督导，定期发布督导报告。</w:t>
      </w:r>
    </w:p>
    <w:p>
      <w:pPr>
        <w:adjustRightInd w:val="0"/>
        <w:snapToGrid w:val="0"/>
        <w:spacing w:line="580" w:lineRule="exact"/>
        <w:ind w:firstLine="640" w:firstLineChars="200"/>
        <w:rPr>
          <w:rFonts w:ascii="仿宋_GB2312" w:eastAsia="仿宋_GB2312"/>
          <w:snapToGrid w:val="0"/>
          <w:kern w:val="0"/>
          <w:szCs w:val="32"/>
        </w:rPr>
      </w:pPr>
      <w:r>
        <w:rPr>
          <w:rFonts w:hint="eastAsia" w:ascii="仿宋_GB2312" w:eastAsia="仿宋_GB2312"/>
          <w:snapToGrid w:val="0"/>
          <w:kern w:val="0"/>
          <w:szCs w:val="32"/>
        </w:rPr>
        <w:t>省政府有关部门、市级人民政府应将</w:t>
      </w:r>
      <w:r>
        <w:rPr>
          <w:rFonts w:hint="eastAsia" w:ascii="仿宋_GB2312" w:eastAsia="仿宋_GB2312"/>
          <w:snapToGrid w:val="0"/>
          <w:spacing w:val="-2"/>
          <w:kern w:val="0"/>
          <w:szCs w:val="32"/>
        </w:rPr>
        <w:t>促进职业教育校企合作纳入绩效考评体系</w:t>
      </w:r>
      <w:r>
        <w:rPr>
          <w:rFonts w:hint="eastAsia" w:ascii="仿宋_GB2312" w:eastAsia="仿宋_GB2312"/>
          <w:snapToGrid w:val="0"/>
          <w:kern w:val="0"/>
          <w:szCs w:val="32"/>
        </w:rPr>
        <w:t>。</w:t>
      </w:r>
    </w:p>
    <w:p>
      <w:pPr>
        <w:adjustRightInd w:val="0"/>
        <w:snapToGrid w:val="0"/>
        <w:spacing w:line="580" w:lineRule="exact"/>
        <w:ind w:firstLine="643" w:firstLineChars="200"/>
        <w:rPr>
          <w:rFonts w:ascii="仿宋_GB2312" w:eastAsia="仿宋_GB2312"/>
          <w:snapToGrid w:val="0"/>
          <w:kern w:val="0"/>
          <w:szCs w:val="32"/>
        </w:rPr>
      </w:pPr>
      <w:r>
        <w:rPr>
          <w:rFonts w:hint="eastAsia" w:ascii="仿宋_GB2312" w:eastAsia="仿宋_GB2312"/>
          <w:b/>
          <w:bCs/>
          <w:snapToGrid w:val="0"/>
          <w:kern w:val="0"/>
          <w:szCs w:val="32"/>
        </w:rPr>
        <w:t xml:space="preserve">第二十二条 </w:t>
      </w:r>
      <w:r>
        <w:rPr>
          <w:rFonts w:hint="eastAsia" w:ascii="仿宋_GB2312" w:eastAsia="仿宋_GB2312"/>
          <w:snapToGrid w:val="0"/>
          <w:kern w:val="0"/>
          <w:szCs w:val="32"/>
        </w:rPr>
        <w:t xml:space="preserve"> 各级教育、人力资源社会保障部门应</w:t>
      </w:r>
      <w:r>
        <w:rPr>
          <w:rFonts w:ascii="仿宋_GB2312" w:eastAsia="仿宋_GB2312"/>
          <w:snapToGrid w:val="0"/>
          <w:kern w:val="0"/>
          <w:szCs w:val="32"/>
        </w:rPr>
        <w:t>将校企合作情况作为</w:t>
      </w:r>
      <w:r>
        <w:rPr>
          <w:rFonts w:hint="eastAsia" w:ascii="仿宋_GB2312" w:eastAsia="仿宋_GB2312"/>
          <w:snapToGrid w:val="0"/>
          <w:kern w:val="0"/>
          <w:szCs w:val="32"/>
        </w:rPr>
        <w:t>职业院校</w:t>
      </w:r>
      <w:r>
        <w:rPr>
          <w:rFonts w:ascii="仿宋_GB2312" w:eastAsia="仿宋_GB2312"/>
          <w:snapToGrid w:val="0"/>
          <w:kern w:val="0"/>
          <w:szCs w:val="32"/>
        </w:rPr>
        <w:t>办学业绩和水平评价</w:t>
      </w:r>
      <w:r>
        <w:rPr>
          <w:rFonts w:hint="eastAsia" w:ascii="仿宋_GB2312" w:eastAsia="仿宋_GB2312"/>
          <w:snapToGrid w:val="0"/>
          <w:kern w:val="0"/>
          <w:szCs w:val="32"/>
        </w:rPr>
        <w:t>、</w:t>
      </w:r>
      <w:r>
        <w:rPr>
          <w:rFonts w:ascii="仿宋_GB2312" w:eastAsia="仿宋_GB2312"/>
          <w:snapToGrid w:val="0"/>
          <w:kern w:val="0"/>
          <w:szCs w:val="32"/>
        </w:rPr>
        <w:t>工作目标考核的重要内容</w:t>
      </w:r>
      <w:r>
        <w:rPr>
          <w:rFonts w:hint="eastAsia" w:ascii="仿宋_GB2312" w:eastAsia="仿宋_GB2312"/>
          <w:snapToGrid w:val="0"/>
          <w:kern w:val="0"/>
          <w:szCs w:val="32"/>
        </w:rPr>
        <w:t>，并向社会发布。企业开展校企合作的情况纳入企业社会责任报告。经济和信息化部门负责督促与落实。</w:t>
      </w:r>
    </w:p>
    <w:p>
      <w:pPr>
        <w:adjustRightInd w:val="0"/>
        <w:snapToGrid w:val="0"/>
        <w:spacing w:line="580" w:lineRule="exact"/>
        <w:ind w:firstLine="640" w:firstLineChars="200"/>
        <w:rPr>
          <w:rFonts w:hint="eastAsia" w:ascii="仿宋_GB2312" w:eastAsia="仿宋_GB2312"/>
          <w:snapToGrid w:val="0"/>
          <w:kern w:val="0"/>
          <w:szCs w:val="32"/>
        </w:rPr>
      </w:pPr>
      <w:r>
        <w:rPr>
          <w:rFonts w:hint="eastAsia" w:ascii="仿宋_GB2312" w:eastAsia="仿宋_GB2312"/>
          <w:snapToGrid w:val="0"/>
          <w:kern w:val="0"/>
          <w:szCs w:val="32"/>
        </w:rPr>
        <w:t>各级人民政府教育行政部门会同相关部门以及行业组织，加强对企业开展校企合作的监督、指导，推广效益明显的模式和做法，推进企业诚信体系建设，做好管理和服务。</w:t>
      </w:r>
    </w:p>
    <w:p>
      <w:pPr>
        <w:adjustRightInd w:val="0"/>
        <w:snapToGrid w:val="0"/>
        <w:spacing w:line="580" w:lineRule="exact"/>
        <w:ind w:firstLine="803" w:firstLineChars="250"/>
        <w:rPr>
          <w:rFonts w:ascii="仿宋_GB2312" w:eastAsia="仿宋_GB2312"/>
          <w:snapToGrid w:val="0"/>
          <w:kern w:val="0"/>
          <w:szCs w:val="32"/>
        </w:rPr>
      </w:pPr>
      <w:r>
        <w:rPr>
          <w:rFonts w:hint="eastAsia" w:ascii="仿宋_GB2312" w:eastAsia="仿宋_GB2312"/>
          <w:b/>
          <w:bCs/>
          <w:snapToGrid w:val="0"/>
          <w:kern w:val="0"/>
          <w:szCs w:val="32"/>
        </w:rPr>
        <w:t>第二十三条</w:t>
      </w:r>
      <w:r>
        <w:rPr>
          <w:rFonts w:hint="eastAsia" w:ascii="仿宋_GB2312" w:eastAsia="仿宋_GB2312"/>
          <w:bCs/>
          <w:snapToGrid w:val="0"/>
          <w:kern w:val="0"/>
          <w:szCs w:val="32"/>
        </w:rPr>
        <w:t xml:space="preserve">  </w:t>
      </w:r>
      <w:r>
        <w:rPr>
          <w:rFonts w:hint="eastAsia" w:ascii="仿宋_GB2312" w:eastAsia="仿宋_GB2312"/>
          <w:snapToGrid w:val="0"/>
          <w:kern w:val="0"/>
          <w:szCs w:val="32"/>
        </w:rPr>
        <w:t>职业院校、企业在合作过程中不得损害学生、教师、企业员工等的合法权益,不得以校企合作名义擅自提高收费标准，不得以校企合作名义向学生收取实习费、实训费、培训费、服装费等名目的费用；违反相关法律法规规定的，由相关主管部门责令整改，并依法追究相关单位和人员责任。</w:t>
      </w:r>
    </w:p>
    <w:p>
      <w:pPr>
        <w:adjustRightInd w:val="0"/>
        <w:snapToGrid w:val="0"/>
        <w:spacing w:line="560" w:lineRule="exact"/>
        <w:ind w:firstLine="640" w:firstLineChars="200"/>
        <w:rPr>
          <w:rFonts w:ascii="仿宋_GB2312" w:eastAsia="仿宋_GB2312"/>
          <w:snapToGrid w:val="0"/>
          <w:kern w:val="0"/>
          <w:szCs w:val="32"/>
        </w:rPr>
      </w:pPr>
      <w:r>
        <w:rPr>
          <w:rFonts w:hint="eastAsia" w:ascii="仿宋_GB2312" w:eastAsia="仿宋_GB2312"/>
          <w:snapToGrid w:val="0"/>
          <w:kern w:val="0"/>
          <w:szCs w:val="32"/>
        </w:rPr>
        <w:t>职业院校、企业骗取和套取政府资金或税收优惠的，有关主管部门应当责令限期退还，并依法依规追究单位及其主要负责人、直接责任人的责任；构成犯罪的，依法追究刑事责任。</w:t>
      </w:r>
    </w:p>
    <w:p>
      <w:pPr>
        <w:tabs>
          <w:tab w:val="left" w:pos="7560"/>
        </w:tabs>
        <w:adjustRightInd w:val="0"/>
        <w:snapToGrid w:val="0"/>
        <w:spacing w:line="560" w:lineRule="exact"/>
        <w:rPr>
          <w:rFonts w:ascii="黑体" w:hAnsi="黑体" w:eastAsia="黑体"/>
          <w:snapToGrid w:val="0"/>
          <w:kern w:val="0"/>
          <w:szCs w:val="32"/>
        </w:rPr>
      </w:pPr>
    </w:p>
    <w:p>
      <w:pPr>
        <w:tabs>
          <w:tab w:val="left" w:pos="7560"/>
        </w:tabs>
        <w:adjustRightInd w:val="0"/>
        <w:snapToGrid w:val="0"/>
        <w:spacing w:line="560" w:lineRule="exact"/>
        <w:jc w:val="center"/>
        <w:rPr>
          <w:rFonts w:hint="eastAsia" w:ascii="黑体" w:hAnsi="黑体" w:eastAsia="黑体"/>
          <w:snapToGrid w:val="0"/>
          <w:kern w:val="0"/>
          <w:szCs w:val="32"/>
        </w:rPr>
      </w:pPr>
      <w:r>
        <w:rPr>
          <w:rFonts w:hint="eastAsia" w:ascii="黑体" w:hAnsi="黑体" w:eastAsia="黑体"/>
          <w:snapToGrid w:val="0"/>
          <w:kern w:val="0"/>
          <w:szCs w:val="32"/>
        </w:rPr>
        <w:t>第五章  附则</w:t>
      </w:r>
    </w:p>
    <w:p>
      <w:pPr>
        <w:adjustRightInd w:val="0"/>
        <w:snapToGrid w:val="0"/>
        <w:spacing w:line="560" w:lineRule="exact"/>
        <w:ind w:firstLine="667" w:firstLineChars="200"/>
        <w:rPr>
          <w:rFonts w:hint="eastAsia" w:ascii="仿宋_GB2312" w:eastAsia="仿宋_GB2312"/>
          <w:snapToGrid w:val="0"/>
          <w:spacing w:val="6"/>
          <w:kern w:val="0"/>
          <w:szCs w:val="32"/>
        </w:rPr>
      </w:pPr>
      <w:r>
        <w:rPr>
          <w:rFonts w:hint="eastAsia" w:ascii="仿宋_GB2312" w:eastAsia="仿宋_GB2312"/>
          <w:b/>
          <w:snapToGrid w:val="0"/>
          <w:spacing w:val="6"/>
          <w:kern w:val="0"/>
          <w:szCs w:val="32"/>
        </w:rPr>
        <w:t>第</w:t>
      </w:r>
      <w:r>
        <w:rPr>
          <w:rFonts w:hint="eastAsia" w:ascii="仿宋_GB2312" w:eastAsia="仿宋_GB2312"/>
          <w:b/>
          <w:bCs/>
          <w:snapToGrid w:val="0"/>
          <w:kern w:val="0"/>
          <w:szCs w:val="32"/>
        </w:rPr>
        <w:t>二十四</w:t>
      </w:r>
      <w:r>
        <w:rPr>
          <w:rFonts w:hint="eastAsia" w:ascii="仿宋_GB2312" w:eastAsia="仿宋_GB2312"/>
          <w:b/>
          <w:snapToGrid w:val="0"/>
          <w:spacing w:val="6"/>
          <w:kern w:val="0"/>
          <w:szCs w:val="32"/>
        </w:rPr>
        <w:t>条</w:t>
      </w:r>
      <w:r>
        <w:rPr>
          <w:rFonts w:hint="eastAsia" w:ascii="仿宋_GB2312" w:eastAsia="仿宋_GB2312"/>
          <w:snapToGrid w:val="0"/>
          <w:kern w:val="0"/>
          <w:szCs w:val="32"/>
        </w:rPr>
        <w:t xml:space="preserve">  </w:t>
      </w:r>
      <w:r>
        <w:rPr>
          <w:rFonts w:hint="eastAsia" w:ascii="仿宋_GB2312" w:eastAsia="仿宋_GB2312"/>
          <w:snapToGrid w:val="0"/>
          <w:spacing w:val="6"/>
          <w:kern w:val="0"/>
          <w:szCs w:val="32"/>
        </w:rPr>
        <w:t>本办法所称的职业院校，是指在本省行政区域内依法设立的中等职业学校（技工学校）、高级技工学校、技师学院、高等职业学校。</w:t>
      </w:r>
    </w:p>
    <w:p>
      <w:pPr>
        <w:adjustRightInd w:val="0"/>
        <w:snapToGrid w:val="0"/>
        <w:spacing w:line="560" w:lineRule="exact"/>
        <w:ind w:firstLine="664" w:firstLineChars="200"/>
        <w:rPr>
          <w:rFonts w:hint="eastAsia" w:ascii="仿宋_GB2312" w:eastAsia="仿宋_GB2312"/>
          <w:snapToGrid w:val="0"/>
          <w:spacing w:val="6"/>
          <w:kern w:val="0"/>
          <w:szCs w:val="32"/>
        </w:rPr>
      </w:pPr>
      <w:r>
        <w:rPr>
          <w:rFonts w:hint="eastAsia" w:ascii="仿宋_GB2312" w:eastAsia="仿宋_GB2312"/>
          <w:snapToGrid w:val="0"/>
          <w:spacing w:val="6"/>
          <w:kern w:val="0"/>
          <w:szCs w:val="32"/>
        </w:rPr>
        <w:t>本办法所称的企业，是指在各级工商行政管理部门登记注册的各类企业。</w:t>
      </w:r>
    </w:p>
    <w:p>
      <w:pPr>
        <w:adjustRightInd w:val="0"/>
        <w:snapToGrid w:val="0"/>
        <w:spacing w:line="560" w:lineRule="exact"/>
        <w:ind w:firstLine="643" w:firstLineChars="200"/>
        <w:rPr>
          <w:rFonts w:hint="eastAsia" w:ascii="仿宋_GB2312" w:eastAsia="仿宋_GB2312"/>
          <w:snapToGrid w:val="0"/>
          <w:kern w:val="0"/>
          <w:szCs w:val="32"/>
        </w:rPr>
      </w:pPr>
      <w:r>
        <w:rPr>
          <w:rFonts w:hint="eastAsia" w:ascii="仿宋_GB2312" w:eastAsia="仿宋_GB2312"/>
          <w:b/>
          <w:snapToGrid w:val="0"/>
          <w:kern w:val="0"/>
          <w:szCs w:val="32"/>
        </w:rPr>
        <w:t>第</w:t>
      </w:r>
      <w:r>
        <w:rPr>
          <w:rFonts w:hint="eastAsia" w:ascii="仿宋_GB2312" w:eastAsia="仿宋_GB2312"/>
          <w:b/>
          <w:bCs/>
          <w:snapToGrid w:val="0"/>
          <w:kern w:val="0"/>
          <w:szCs w:val="32"/>
        </w:rPr>
        <w:t>二十五</w:t>
      </w:r>
      <w:r>
        <w:rPr>
          <w:rFonts w:hint="eastAsia" w:ascii="仿宋_GB2312" w:eastAsia="仿宋_GB2312"/>
          <w:b/>
          <w:snapToGrid w:val="0"/>
          <w:kern w:val="0"/>
          <w:szCs w:val="32"/>
        </w:rPr>
        <w:t>条</w:t>
      </w:r>
      <w:r>
        <w:rPr>
          <w:rFonts w:hint="eastAsia" w:ascii="仿宋_GB2312" w:eastAsia="仿宋_GB2312"/>
          <w:snapToGrid w:val="0"/>
          <w:kern w:val="0"/>
          <w:szCs w:val="32"/>
        </w:rPr>
        <w:t xml:space="preserve">  </w:t>
      </w:r>
      <w:r>
        <w:rPr>
          <w:rFonts w:hint="eastAsia" w:ascii="仿宋_GB2312" w:eastAsia="仿宋_GB2312"/>
          <w:snapToGrid w:val="0"/>
          <w:spacing w:val="6"/>
          <w:kern w:val="0"/>
          <w:szCs w:val="32"/>
        </w:rPr>
        <w:t>本办法适用于本省行政区域内的职业院校与企业在国内进行的校企合作。</w:t>
      </w:r>
      <w:r>
        <w:rPr>
          <w:rFonts w:hint="eastAsia" w:ascii="仿宋_GB2312" w:eastAsia="仿宋_GB2312"/>
          <w:snapToGrid w:val="0"/>
          <w:kern w:val="0"/>
          <w:szCs w:val="32"/>
        </w:rPr>
        <w:t>职业院校与国（境）外企业所开展的校企合作，在相关法律法规之内参照本办法执行。</w:t>
      </w:r>
    </w:p>
    <w:p>
      <w:pPr>
        <w:adjustRightInd w:val="0"/>
        <w:snapToGrid w:val="0"/>
        <w:spacing w:line="560" w:lineRule="exact"/>
        <w:ind w:firstLine="667" w:firstLineChars="200"/>
        <w:rPr>
          <w:rFonts w:hint="eastAsia" w:ascii="仿宋_GB2312" w:eastAsia="仿宋_GB2312"/>
          <w:snapToGrid w:val="0"/>
          <w:spacing w:val="6"/>
          <w:kern w:val="0"/>
          <w:szCs w:val="32"/>
        </w:rPr>
      </w:pPr>
      <w:r>
        <w:rPr>
          <w:rFonts w:hint="eastAsia" w:ascii="仿宋_GB2312" w:eastAsia="仿宋_GB2312"/>
          <w:b/>
          <w:snapToGrid w:val="0"/>
          <w:spacing w:val="6"/>
          <w:kern w:val="0"/>
          <w:szCs w:val="32"/>
        </w:rPr>
        <w:t>第</w:t>
      </w:r>
      <w:r>
        <w:rPr>
          <w:rFonts w:hint="eastAsia" w:ascii="仿宋_GB2312" w:eastAsia="仿宋_GB2312"/>
          <w:b/>
          <w:bCs/>
          <w:snapToGrid w:val="0"/>
          <w:kern w:val="0"/>
          <w:szCs w:val="32"/>
        </w:rPr>
        <w:t>二十六</w:t>
      </w:r>
      <w:r>
        <w:rPr>
          <w:rFonts w:hint="eastAsia" w:ascii="仿宋_GB2312" w:eastAsia="仿宋_GB2312"/>
          <w:b/>
          <w:snapToGrid w:val="0"/>
          <w:spacing w:val="6"/>
          <w:kern w:val="0"/>
          <w:szCs w:val="32"/>
        </w:rPr>
        <w:t xml:space="preserve">条  </w:t>
      </w:r>
      <w:r>
        <w:rPr>
          <w:rFonts w:hint="eastAsia" w:ascii="仿宋_GB2312" w:eastAsia="仿宋_GB2312"/>
          <w:snapToGrid w:val="0"/>
          <w:spacing w:val="6"/>
          <w:kern w:val="0"/>
          <w:szCs w:val="32"/>
        </w:rPr>
        <w:t>其他层次类型的高等学校开展校企合作，职业院校与机关、事业单位、社会团体等机构和组织开展合作，参照本办法执行。</w:t>
      </w:r>
    </w:p>
    <w:p>
      <w:pPr>
        <w:adjustRightInd w:val="0"/>
        <w:snapToGrid w:val="0"/>
        <w:spacing w:line="560" w:lineRule="exact"/>
        <w:ind w:firstLine="643" w:firstLineChars="200"/>
        <w:rPr>
          <w:rFonts w:hint="eastAsia" w:ascii="仿宋_GB2312" w:eastAsia="仿宋_GB2312"/>
          <w:snapToGrid w:val="0"/>
          <w:kern w:val="0"/>
          <w:szCs w:val="32"/>
        </w:rPr>
      </w:pPr>
      <w:r>
        <w:rPr>
          <w:rFonts w:hint="eastAsia" w:ascii="仿宋_GB2312" w:eastAsia="仿宋_GB2312"/>
          <w:b/>
          <w:snapToGrid w:val="0"/>
          <w:kern w:val="0"/>
          <w:szCs w:val="32"/>
        </w:rPr>
        <w:t>第</w:t>
      </w:r>
      <w:r>
        <w:rPr>
          <w:rFonts w:hint="eastAsia" w:ascii="仿宋_GB2312" w:eastAsia="仿宋_GB2312"/>
          <w:b/>
          <w:bCs/>
          <w:snapToGrid w:val="0"/>
          <w:kern w:val="0"/>
          <w:szCs w:val="32"/>
        </w:rPr>
        <w:t>二十七</w:t>
      </w:r>
      <w:r>
        <w:rPr>
          <w:rFonts w:hint="eastAsia" w:ascii="仿宋_GB2312" w:eastAsia="仿宋_GB2312"/>
          <w:b/>
          <w:snapToGrid w:val="0"/>
          <w:kern w:val="0"/>
          <w:szCs w:val="32"/>
        </w:rPr>
        <w:t>条</w:t>
      </w:r>
      <w:r>
        <w:rPr>
          <w:rFonts w:hint="eastAsia" w:ascii="仿宋_GB2312" w:eastAsia="仿宋_GB2312"/>
          <w:snapToGrid w:val="0"/>
          <w:kern w:val="0"/>
          <w:szCs w:val="32"/>
        </w:rPr>
        <w:t xml:space="preserve">  本办法自发布之日起施行。</w:t>
      </w:r>
    </w:p>
    <w:bookmarkEnd w:id="5"/>
    <w:sectPr>
      <w:headerReference r:id="rId5" w:type="first"/>
      <w:footerReference r:id="rId8" w:type="first"/>
      <w:headerReference r:id="rId3" w:type="default"/>
      <w:footerReference r:id="rId6" w:type="default"/>
      <w:headerReference r:id="rId4" w:type="even"/>
      <w:footerReference r:id="rId7" w:type="even"/>
      <w:pgSz w:w="11907" w:h="16840"/>
      <w:pgMar w:top="2041" w:right="1531" w:bottom="1701" w:left="1531" w:header="851" w:footer="1134" w:gutter="0"/>
      <w:pgNumType w:fmt="numberInDash" w:start="3"/>
      <w:cols w:space="720" w:num="1"/>
      <w:docGrid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仿宋_GBK">
    <w:altName w:val="微软雅黑"/>
    <w:panose1 w:val="03000509000000000000"/>
    <w:charset w:val="86"/>
    <w:family w:val="script"/>
    <w:pitch w:val="default"/>
    <w:sig w:usb0="00000001" w:usb1="080E0000" w:usb2="00000010" w:usb3="00000000" w:csb0="00040000" w:csb1="00000000"/>
  </w:font>
  <w:font w:name="方正黑体_GBK">
    <w:altName w:val="微软雅黑"/>
    <w:panose1 w:val="03000509000000000000"/>
    <w:charset w:val="86"/>
    <w:family w:val="script"/>
    <w:pitch w:val="default"/>
    <w:sig w:usb0="00000001" w:usb1="080E0000" w:usb2="00000010" w:usb3="00000000" w:csb0="00040000" w:csb1="00000000"/>
  </w:font>
  <w:font w:name="方正小标宋简体">
    <w:altName w:val="方正舒体"/>
    <w:panose1 w:val="02010601030101010101"/>
    <w:charset w:val="86"/>
    <w:family w:val="auto"/>
    <w:pitch w:val="default"/>
    <w:sig w:usb0="00000001" w:usb1="080E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Fonts w:hint="eastAsia" w:ascii="方正仿宋_GBK" w:eastAsia="方正仿宋_GBK"/>
        <w:sz w:val="28"/>
        <w:szCs w:val="28"/>
      </w:rPr>
    </w:pPr>
    <w:r>
      <w:rPr>
        <w:rStyle w:val="13"/>
        <w:rFonts w:hint="eastAsia" w:ascii="方正仿宋_GBK" w:eastAsia="方正仿宋_GBK"/>
        <w:sz w:val="28"/>
        <w:szCs w:val="28"/>
      </w:rPr>
      <w:fldChar w:fldCharType="begin"/>
    </w:r>
    <w:r>
      <w:rPr>
        <w:rStyle w:val="13"/>
        <w:rFonts w:hint="eastAsia" w:ascii="方正仿宋_GBK" w:eastAsia="方正仿宋_GBK"/>
        <w:sz w:val="28"/>
        <w:szCs w:val="28"/>
      </w:rPr>
      <w:instrText xml:space="preserve">PAGE  </w:instrText>
    </w:r>
    <w:r>
      <w:rPr>
        <w:rStyle w:val="13"/>
        <w:rFonts w:hint="eastAsia" w:ascii="方正仿宋_GBK" w:eastAsia="方正仿宋_GBK"/>
        <w:sz w:val="28"/>
        <w:szCs w:val="28"/>
      </w:rPr>
      <w:fldChar w:fldCharType="separate"/>
    </w:r>
    <w:r>
      <w:rPr>
        <w:rStyle w:val="13"/>
        <w:rFonts w:ascii="方正仿宋_GBK" w:eastAsia="方正仿宋_GBK"/>
        <w:sz w:val="28"/>
        <w:szCs w:val="28"/>
        <w:lang/>
      </w:rPr>
      <w:t>- 11 -</w:t>
    </w:r>
    <w:r>
      <w:rPr>
        <w:rStyle w:val="13"/>
        <w:rFonts w:hint="eastAsia" w:ascii="方正仿宋_GBK" w:eastAsia="方正仿宋_GBK"/>
        <w:sz w:val="28"/>
        <w:szCs w:val="28"/>
      </w:rPr>
      <w:fldChar w:fldCharType="end"/>
    </w:r>
  </w:p>
  <w:p>
    <w:pPr>
      <w:pStyle w:val="6"/>
      <w:ind w:right="360" w:firstLine="360"/>
      <w:jc w:val="cente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fldChar w:fldCharType="begin"/>
    </w:r>
    <w:r>
      <w:rPr>
        <w:rStyle w:val="13"/>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
  <w:drawingGridVerticalSpacing w:val="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299"/>
    <w:rsid w:val="000050AC"/>
    <w:rsid w:val="00007B12"/>
    <w:rsid w:val="00013154"/>
    <w:rsid w:val="000159A9"/>
    <w:rsid w:val="00015F21"/>
    <w:rsid w:val="00031008"/>
    <w:rsid w:val="00043C9E"/>
    <w:rsid w:val="00052F82"/>
    <w:rsid w:val="0005414D"/>
    <w:rsid w:val="000561F1"/>
    <w:rsid w:val="000565F0"/>
    <w:rsid w:val="00066649"/>
    <w:rsid w:val="000743EB"/>
    <w:rsid w:val="000752B6"/>
    <w:rsid w:val="00084CEB"/>
    <w:rsid w:val="00090471"/>
    <w:rsid w:val="00093AA8"/>
    <w:rsid w:val="00097BBD"/>
    <w:rsid w:val="000A1B3B"/>
    <w:rsid w:val="000A2299"/>
    <w:rsid w:val="000A49AC"/>
    <w:rsid w:val="000B05D9"/>
    <w:rsid w:val="000B4ADB"/>
    <w:rsid w:val="000C2B1B"/>
    <w:rsid w:val="000C3377"/>
    <w:rsid w:val="000D269B"/>
    <w:rsid w:val="000E27BD"/>
    <w:rsid w:val="000E5526"/>
    <w:rsid w:val="000E76C4"/>
    <w:rsid w:val="000F0071"/>
    <w:rsid w:val="000F0432"/>
    <w:rsid w:val="000F0A35"/>
    <w:rsid w:val="000F456E"/>
    <w:rsid w:val="00100199"/>
    <w:rsid w:val="001048D1"/>
    <w:rsid w:val="00112366"/>
    <w:rsid w:val="00125A7D"/>
    <w:rsid w:val="00143AB7"/>
    <w:rsid w:val="001455FF"/>
    <w:rsid w:val="00147DA4"/>
    <w:rsid w:val="00150761"/>
    <w:rsid w:val="0015405A"/>
    <w:rsid w:val="001547F8"/>
    <w:rsid w:val="0016571A"/>
    <w:rsid w:val="001701EE"/>
    <w:rsid w:val="0017075F"/>
    <w:rsid w:val="001722FF"/>
    <w:rsid w:val="001825F2"/>
    <w:rsid w:val="0018421B"/>
    <w:rsid w:val="00191D90"/>
    <w:rsid w:val="00192571"/>
    <w:rsid w:val="0019737A"/>
    <w:rsid w:val="00197E4B"/>
    <w:rsid w:val="001B2234"/>
    <w:rsid w:val="001B481D"/>
    <w:rsid w:val="001B6529"/>
    <w:rsid w:val="001D53F0"/>
    <w:rsid w:val="001E02B6"/>
    <w:rsid w:val="001E0F2E"/>
    <w:rsid w:val="001E6AA5"/>
    <w:rsid w:val="00212ABD"/>
    <w:rsid w:val="0021324C"/>
    <w:rsid w:val="00216FE9"/>
    <w:rsid w:val="002176CF"/>
    <w:rsid w:val="002254AF"/>
    <w:rsid w:val="00237BD3"/>
    <w:rsid w:val="00241029"/>
    <w:rsid w:val="00246E07"/>
    <w:rsid w:val="00251D25"/>
    <w:rsid w:val="002528D5"/>
    <w:rsid w:val="00256A3E"/>
    <w:rsid w:val="002611C2"/>
    <w:rsid w:val="0026409F"/>
    <w:rsid w:val="00267FB0"/>
    <w:rsid w:val="00270961"/>
    <w:rsid w:val="002710D5"/>
    <w:rsid w:val="00271B6A"/>
    <w:rsid w:val="002877E4"/>
    <w:rsid w:val="002945EF"/>
    <w:rsid w:val="00296C63"/>
    <w:rsid w:val="002A0F85"/>
    <w:rsid w:val="002A4B06"/>
    <w:rsid w:val="002B0C36"/>
    <w:rsid w:val="002B1AFD"/>
    <w:rsid w:val="002B2A68"/>
    <w:rsid w:val="002B3043"/>
    <w:rsid w:val="002B4BB4"/>
    <w:rsid w:val="002B54E0"/>
    <w:rsid w:val="002B5C1A"/>
    <w:rsid w:val="002C0EBE"/>
    <w:rsid w:val="002C2219"/>
    <w:rsid w:val="002C33C9"/>
    <w:rsid w:val="002C5958"/>
    <w:rsid w:val="002D1615"/>
    <w:rsid w:val="002D2FEC"/>
    <w:rsid w:val="002D3672"/>
    <w:rsid w:val="002D4154"/>
    <w:rsid w:val="002E052A"/>
    <w:rsid w:val="002E213F"/>
    <w:rsid w:val="002E48B2"/>
    <w:rsid w:val="002E69D1"/>
    <w:rsid w:val="002F4718"/>
    <w:rsid w:val="002F73CD"/>
    <w:rsid w:val="00300E2E"/>
    <w:rsid w:val="00303544"/>
    <w:rsid w:val="003053AE"/>
    <w:rsid w:val="003060DF"/>
    <w:rsid w:val="00317B4D"/>
    <w:rsid w:val="00324676"/>
    <w:rsid w:val="003251BF"/>
    <w:rsid w:val="00325509"/>
    <w:rsid w:val="003267FC"/>
    <w:rsid w:val="0032756B"/>
    <w:rsid w:val="00331921"/>
    <w:rsid w:val="00331F76"/>
    <w:rsid w:val="00333811"/>
    <w:rsid w:val="00345D43"/>
    <w:rsid w:val="00345D52"/>
    <w:rsid w:val="0035042E"/>
    <w:rsid w:val="00364309"/>
    <w:rsid w:val="00364CE1"/>
    <w:rsid w:val="00365529"/>
    <w:rsid w:val="00375DEB"/>
    <w:rsid w:val="003820D5"/>
    <w:rsid w:val="0038289E"/>
    <w:rsid w:val="003877F2"/>
    <w:rsid w:val="00390299"/>
    <w:rsid w:val="00392431"/>
    <w:rsid w:val="003A3CB5"/>
    <w:rsid w:val="003B36CC"/>
    <w:rsid w:val="003B5BE8"/>
    <w:rsid w:val="003C6DC7"/>
    <w:rsid w:val="003D3C0B"/>
    <w:rsid w:val="003E2D69"/>
    <w:rsid w:val="003E4B5F"/>
    <w:rsid w:val="003E75D5"/>
    <w:rsid w:val="003F789E"/>
    <w:rsid w:val="004044A1"/>
    <w:rsid w:val="00404582"/>
    <w:rsid w:val="0040590B"/>
    <w:rsid w:val="004063B7"/>
    <w:rsid w:val="00412BA1"/>
    <w:rsid w:val="00415A9B"/>
    <w:rsid w:val="00430EB6"/>
    <w:rsid w:val="004356DD"/>
    <w:rsid w:val="0044229E"/>
    <w:rsid w:val="00444E92"/>
    <w:rsid w:val="00445473"/>
    <w:rsid w:val="0044697E"/>
    <w:rsid w:val="00450035"/>
    <w:rsid w:val="004528D7"/>
    <w:rsid w:val="00454B28"/>
    <w:rsid w:val="00464884"/>
    <w:rsid w:val="00472421"/>
    <w:rsid w:val="004763F2"/>
    <w:rsid w:val="0048132E"/>
    <w:rsid w:val="004836BC"/>
    <w:rsid w:val="00485CF8"/>
    <w:rsid w:val="0048756F"/>
    <w:rsid w:val="00487FC7"/>
    <w:rsid w:val="004916D1"/>
    <w:rsid w:val="004A1671"/>
    <w:rsid w:val="004A55D2"/>
    <w:rsid w:val="004A65F3"/>
    <w:rsid w:val="004B332F"/>
    <w:rsid w:val="004B4A07"/>
    <w:rsid w:val="004B64F3"/>
    <w:rsid w:val="004C633A"/>
    <w:rsid w:val="004D0B4A"/>
    <w:rsid w:val="004D2F91"/>
    <w:rsid w:val="004D62F6"/>
    <w:rsid w:val="004D7413"/>
    <w:rsid w:val="004E43F2"/>
    <w:rsid w:val="004E61D2"/>
    <w:rsid w:val="004E6C8E"/>
    <w:rsid w:val="004F273D"/>
    <w:rsid w:val="00501536"/>
    <w:rsid w:val="00504AE8"/>
    <w:rsid w:val="005056A5"/>
    <w:rsid w:val="00510C28"/>
    <w:rsid w:val="005121C6"/>
    <w:rsid w:val="005162B9"/>
    <w:rsid w:val="00520C18"/>
    <w:rsid w:val="00531DD2"/>
    <w:rsid w:val="00532D6B"/>
    <w:rsid w:val="00542B79"/>
    <w:rsid w:val="0054470F"/>
    <w:rsid w:val="005471CA"/>
    <w:rsid w:val="00553635"/>
    <w:rsid w:val="00560661"/>
    <w:rsid w:val="00560863"/>
    <w:rsid w:val="00571282"/>
    <w:rsid w:val="005735E7"/>
    <w:rsid w:val="0058064A"/>
    <w:rsid w:val="00585638"/>
    <w:rsid w:val="00590F87"/>
    <w:rsid w:val="00591136"/>
    <w:rsid w:val="005B10CB"/>
    <w:rsid w:val="005B23A9"/>
    <w:rsid w:val="005B268F"/>
    <w:rsid w:val="005B5A95"/>
    <w:rsid w:val="005B6D2A"/>
    <w:rsid w:val="005B6DE3"/>
    <w:rsid w:val="005B7FA1"/>
    <w:rsid w:val="005C026D"/>
    <w:rsid w:val="005D039C"/>
    <w:rsid w:val="005D07BE"/>
    <w:rsid w:val="005D5AB4"/>
    <w:rsid w:val="005D793D"/>
    <w:rsid w:val="005E0E8C"/>
    <w:rsid w:val="005F0736"/>
    <w:rsid w:val="00601643"/>
    <w:rsid w:val="0060630F"/>
    <w:rsid w:val="006118D0"/>
    <w:rsid w:val="00612C84"/>
    <w:rsid w:val="00622CF4"/>
    <w:rsid w:val="006243FB"/>
    <w:rsid w:val="006256C1"/>
    <w:rsid w:val="006307A1"/>
    <w:rsid w:val="00631F63"/>
    <w:rsid w:val="006321BC"/>
    <w:rsid w:val="0063496E"/>
    <w:rsid w:val="006366A1"/>
    <w:rsid w:val="0064089D"/>
    <w:rsid w:val="006418AF"/>
    <w:rsid w:val="00644E09"/>
    <w:rsid w:val="00647587"/>
    <w:rsid w:val="00650456"/>
    <w:rsid w:val="0065518E"/>
    <w:rsid w:val="006565CB"/>
    <w:rsid w:val="00661A21"/>
    <w:rsid w:val="00664694"/>
    <w:rsid w:val="00665D94"/>
    <w:rsid w:val="0067116E"/>
    <w:rsid w:val="00675105"/>
    <w:rsid w:val="00676DC2"/>
    <w:rsid w:val="00683B31"/>
    <w:rsid w:val="006850C7"/>
    <w:rsid w:val="00685CE1"/>
    <w:rsid w:val="00687515"/>
    <w:rsid w:val="006A250B"/>
    <w:rsid w:val="006A498F"/>
    <w:rsid w:val="006B3B99"/>
    <w:rsid w:val="006B651B"/>
    <w:rsid w:val="006B6C39"/>
    <w:rsid w:val="006B7359"/>
    <w:rsid w:val="006C1129"/>
    <w:rsid w:val="006C4DF8"/>
    <w:rsid w:val="006D1B4C"/>
    <w:rsid w:val="006E7D08"/>
    <w:rsid w:val="006F2235"/>
    <w:rsid w:val="006F2D51"/>
    <w:rsid w:val="006F5100"/>
    <w:rsid w:val="006F5A3D"/>
    <w:rsid w:val="00703FA9"/>
    <w:rsid w:val="00720191"/>
    <w:rsid w:val="00722B00"/>
    <w:rsid w:val="00732B65"/>
    <w:rsid w:val="0073408A"/>
    <w:rsid w:val="007366E4"/>
    <w:rsid w:val="0074120E"/>
    <w:rsid w:val="00744CBF"/>
    <w:rsid w:val="00752D52"/>
    <w:rsid w:val="00752FDE"/>
    <w:rsid w:val="00753FD3"/>
    <w:rsid w:val="007717EB"/>
    <w:rsid w:val="00771D88"/>
    <w:rsid w:val="00776671"/>
    <w:rsid w:val="00776768"/>
    <w:rsid w:val="00782089"/>
    <w:rsid w:val="00783B96"/>
    <w:rsid w:val="0078739E"/>
    <w:rsid w:val="0079033E"/>
    <w:rsid w:val="00791829"/>
    <w:rsid w:val="0079587B"/>
    <w:rsid w:val="007A03F5"/>
    <w:rsid w:val="007A5C91"/>
    <w:rsid w:val="007C1256"/>
    <w:rsid w:val="007D3B10"/>
    <w:rsid w:val="007D4FF5"/>
    <w:rsid w:val="007D5004"/>
    <w:rsid w:val="007D61EE"/>
    <w:rsid w:val="007D678A"/>
    <w:rsid w:val="007E1AAC"/>
    <w:rsid w:val="007E1F3E"/>
    <w:rsid w:val="007E2CF4"/>
    <w:rsid w:val="007E3103"/>
    <w:rsid w:val="007E6E36"/>
    <w:rsid w:val="007F1B00"/>
    <w:rsid w:val="007F28AF"/>
    <w:rsid w:val="007F73A0"/>
    <w:rsid w:val="008069FD"/>
    <w:rsid w:val="00833ABF"/>
    <w:rsid w:val="00836738"/>
    <w:rsid w:val="00837ABB"/>
    <w:rsid w:val="008407E5"/>
    <w:rsid w:val="00840FEB"/>
    <w:rsid w:val="00844826"/>
    <w:rsid w:val="00844A02"/>
    <w:rsid w:val="008535A8"/>
    <w:rsid w:val="00853CD2"/>
    <w:rsid w:val="00856BE8"/>
    <w:rsid w:val="00857D61"/>
    <w:rsid w:val="00865E3E"/>
    <w:rsid w:val="00866CF3"/>
    <w:rsid w:val="00870A30"/>
    <w:rsid w:val="00871AF2"/>
    <w:rsid w:val="008770B0"/>
    <w:rsid w:val="008807E9"/>
    <w:rsid w:val="008834EE"/>
    <w:rsid w:val="008936A9"/>
    <w:rsid w:val="00896232"/>
    <w:rsid w:val="008A1D6E"/>
    <w:rsid w:val="008B45FC"/>
    <w:rsid w:val="008B684F"/>
    <w:rsid w:val="008B6E73"/>
    <w:rsid w:val="008C3601"/>
    <w:rsid w:val="008D7D04"/>
    <w:rsid w:val="008E07AF"/>
    <w:rsid w:val="008E13EE"/>
    <w:rsid w:val="008E3C25"/>
    <w:rsid w:val="008E4B33"/>
    <w:rsid w:val="008F0C4A"/>
    <w:rsid w:val="008F2828"/>
    <w:rsid w:val="008F37FA"/>
    <w:rsid w:val="008F38F8"/>
    <w:rsid w:val="008F4CCD"/>
    <w:rsid w:val="008F69DF"/>
    <w:rsid w:val="00905924"/>
    <w:rsid w:val="00910970"/>
    <w:rsid w:val="00920FE8"/>
    <w:rsid w:val="00923A1D"/>
    <w:rsid w:val="00926118"/>
    <w:rsid w:val="00927328"/>
    <w:rsid w:val="00932B83"/>
    <w:rsid w:val="009353D7"/>
    <w:rsid w:val="00941272"/>
    <w:rsid w:val="0094178E"/>
    <w:rsid w:val="00941F61"/>
    <w:rsid w:val="00945868"/>
    <w:rsid w:val="00950489"/>
    <w:rsid w:val="00950724"/>
    <w:rsid w:val="009540FA"/>
    <w:rsid w:val="00971929"/>
    <w:rsid w:val="009745CB"/>
    <w:rsid w:val="00976E87"/>
    <w:rsid w:val="00980D5D"/>
    <w:rsid w:val="0098197A"/>
    <w:rsid w:val="009879FA"/>
    <w:rsid w:val="00991E38"/>
    <w:rsid w:val="009A1F58"/>
    <w:rsid w:val="009A22A6"/>
    <w:rsid w:val="009A3C3E"/>
    <w:rsid w:val="009B499B"/>
    <w:rsid w:val="009B49A7"/>
    <w:rsid w:val="009B5F2F"/>
    <w:rsid w:val="009B6E0E"/>
    <w:rsid w:val="009B75A6"/>
    <w:rsid w:val="009C14CA"/>
    <w:rsid w:val="009C3E68"/>
    <w:rsid w:val="009E05F5"/>
    <w:rsid w:val="009E1A0C"/>
    <w:rsid w:val="009E71A3"/>
    <w:rsid w:val="009E76AB"/>
    <w:rsid w:val="009E7709"/>
    <w:rsid w:val="009F16AF"/>
    <w:rsid w:val="00A14253"/>
    <w:rsid w:val="00A14994"/>
    <w:rsid w:val="00A15FB9"/>
    <w:rsid w:val="00A16E46"/>
    <w:rsid w:val="00A358D4"/>
    <w:rsid w:val="00A37EB9"/>
    <w:rsid w:val="00A417F2"/>
    <w:rsid w:val="00A424B1"/>
    <w:rsid w:val="00A50F33"/>
    <w:rsid w:val="00A51594"/>
    <w:rsid w:val="00A536C7"/>
    <w:rsid w:val="00A647E6"/>
    <w:rsid w:val="00A70E6A"/>
    <w:rsid w:val="00A70F13"/>
    <w:rsid w:val="00A71620"/>
    <w:rsid w:val="00A74AD6"/>
    <w:rsid w:val="00A75A10"/>
    <w:rsid w:val="00A76C1C"/>
    <w:rsid w:val="00A8350C"/>
    <w:rsid w:val="00A85188"/>
    <w:rsid w:val="00A858D1"/>
    <w:rsid w:val="00A90F38"/>
    <w:rsid w:val="00A91EB1"/>
    <w:rsid w:val="00A93CEB"/>
    <w:rsid w:val="00A95AF7"/>
    <w:rsid w:val="00AA30C5"/>
    <w:rsid w:val="00AB0881"/>
    <w:rsid w:val="00AB39AE"/>
    <w:rsid w:val="00AB415E"/>
    <w:rsid w:val="00AB4C8F"/>
    <w:rsid w:val="00AB50FC"/>
    <w:rsid w:val="00AB701B"/>
    <w:rsid w:val="00AB7AA4"/>
    <w:rsid w:val="00AC353D"/>
    <w:rsid w:val="00AE1E57"/>
    <w:rsid w:val="00AE3F10"/>
    <w:rsid w:val="00AE42EC"/>
    <w:rsid w:val="00AE49F2"/>
    <w:rsid w:val="00AE4DA0"/>
    <w:rsid w:val="00AF62E9"/>
    <w:rsid w:val="00B0331B"/>
    <w:rsid w:val="00B11DCD"/>
    <w:rsid w:val="00B13E7D"/>
    <w:rsid w:val="00B24750"/>
    <w:rsid w:val="00B329E1"/>
    <w:rsid w:val="00B43078"/>
    <w:rsid w:val="00B52F30"/>
    <w:rsid w:val="00B55173"/>
    <w:rsid w:val="00B610A1"/>
    <w:rsid w:val="00B63EFB"/>
    <w:rsid w:val="00B64AB2"/>
    <w:rsid w:val="00B6713B"/>
    <w:rsid w:val="00B70960"/>
    <w:rsid w:val="00B72C12"/>
    <w:rsid w:val="00B72D06"/>
    <w:rsid w:val="00B73EF9"/>
    <w:rsid w:val="00B74B1D"/>
    <w:rsid w:val="00B75841"/>
    <w:rsid w:val="00B841E4"/>
    <w:rsid w:val="00B902F4"/>
    <w:rsid w:val="00B92209"/>
    <w:rsid w:val="00B930A9"/>
    <w:rsid w:val="00B933C3"/>
    <w:rsid w:val="00B96EB9"/>
    <w:rsid w:val="00B97097"/>
    <w:rsid w:val="00B9746B"/>
    <w:rsid w:val="00BA1801"/>
    <w:rsid w:val="00BA1DC6"/>
    <w:rsid w:val="00BA317D"/>
    <w:rsid w:val="00BA462C"/>
    <w:rsid w:val="00BA6760"/>
    <w:rsid w:val="00BA7F15"/>
    <w:rsid w:val="00BC0B5C"/>
    <w:rsid w:val="00BC3120"/>
    <w:rsid w:val="00BD406E"/>
    <w:rsid w:val="00BD61E7"/>
    <w:rsid w:val="00BE2F4E"/>
    <w:rsid w:val="00BE6F02"/>
    <w:rsid w:val="00BE7210"/>
    <w:rsid w:val="00BF045F"/>
    <w:rsid w:val="00BF4996"/>
    <w:rsid w:val="00BF7B04"/>
    <w:rsid w:val="00C05CC4"/>
    <w:rsid w:val="00C136CC"/>
    <w:rsid w:val="00C1626D"/>
    <w:rsid w:val="00C17C6E"/>
    <w:rsid w:val="00C21624"/>
    <w:rsid w:val="00C2575D"/>
    <w:rsid w:val="00C265A2"/>
    <w:rsid w:val="00C312EA"/>
    <w:rsid w:val="00C33647"/>
    <w:rsid w:val="00C35F6C"/>
    <w:rsid w:val="00C36BF8"/>
    <w:rsid w:val="00C4291B"/>
    <w:rsid w:val="00C42EB3"/>
    <w:rsid w:val="00C44363"/>
    <w:rsid w:val="00C52934"/>
    <w:rsid w:val="00C54137"/>
    <w:rsid w:val="00C57A1B"/>
    <w:rsid w:val="00C61E08"/>
    <w:rsid w:val="00C63536"/>
    <w:rsid w:val="00C70989"/>
    <w:rsid w:val="00C7434E"/>
    <w:rsid w:val="00C778D8"/>
    <w:rsid w:val="00C805CA"/>
    <w:rsid w:val="00C8317B"/>
    <w:rsid w:val="00C83A89"/>
    <w:rsid w:val="00C83B95"/>
    <w:rsid w:val="00C84046"/>
    <w:rsid w:val="00C952CE"/>
    <w:rsid w:val="00C96EAA"/>
    <w:rsid w:val="00CA6837"/>
    <w:rsid w:val="00CB73E1"/>
    <w:rsid w:val="00CB7E06"/>
    <w:rsid w:val="00CC0CCD"/>
    <w:rsid w:val="00CC0F54"/>
    <w:rsid w:val="00CC2233"/>
    <w:rsid w:val="00CD57BB"/>
    <w:rsid w:val="00CF4103"/>
    <w:rsid w:val="00CF7763"/>
    <w:rsid w:val="00D104A7"/>
    <w:rsid w:val="00D11A2F"/>
    <w:rsid w:val="00D178BF"/>
    <w:rsid w:val="00D21AA4"/>
    <w:rsid w:val="00D254CF"/>
    <w:rsid w:val="00D36985"/>
    <w:rsid w:val="00D42964"/>
    <w:rsid w:val="00D4498A"/>
    <w:rsid w:val="00D515BC"/>
    <w:rsid w:val="00D52402"/>
    <w:rsid w:val="00D62A50"/>
    <w:rsid w:val="00D705FA"/>
    <w:rsid w:val="00D73A46"/>
    <w:rsid w:val="00D80FDF"/>
    <w:rsid w:val="00D81525"/>
    <w:rsid w:val="00D82A0E"/>
    <w:rsid w:val="00D837CA"/>
    <w:rsid w:val="00D83893"/>
    <w:rsid w:val="00D8715C"/>
    <w:rsid w:val="00D87722"/>
    <w:rsid w:val="00D92211"/>
    <w:rsid w:val="00D96299"/>
    <w:rsid w:val="00DA1C82"/>
    <w:rsid w:val="00DB2B62"/>
    <w:rsid w:val="00DB2BE0"/>
    <w:rsid w:val="00DB364F"/>
    <w:rsid w:val="00DC441C"/>
    <w:rsid w:val="00DC4F51"/>
    <w:rsid w:val="00DC554C"/>
    <w:rsid w:val="00DD1645"/>
    <w:rsid w:val="00DD49E1"/>
    <w:rsid w:val="00DD5CAD"/>
    <w:rsid w:val="00DD6B78"/>
    <w:rsid w:val="00DE08E7"/>
    <w:rsid w:val="00DE1DD5"/>
    <w:rsid w:val="00DF65A3"/>
    <w:rsid w:val="00E01005"/>
    <w:rsid w:val="00E01075"/>
    <w:rsid w:val="00E01559"/>
    <w:rsid w:val="00E0195A"/>
    <w:rsid w:val="00E06292"/>
    <w:rsid w:val="00E35E4F"/>
    <w:rsid w:val="00E44FE3"/>
    <w:rsid w:val="00E63A58"/>
    <w:rsid w:val="00E71EE9"/>
    <w:rsid w:val="00E729FB"/>
    <w:rsid w:val="00E73A96"/>
    <w:rsid w:val="00E73C12"/>
    <w:rsid w:val="00E74865"/>
    <w:rsid w:val="00E76E66"/>
    <w:rsid w:val="00E8209E"/>
    <w:rsid w:val="00E84021"/>
    <w:rsid w:val="00E85202"/>
    <w:rsid w:val="00E85892"/>
    <w:rsid w:val="00E85B5D"/>
    <w:rsid w:val="00E93232"/>
    <w:rsid w:val="00E96C35"/>
    <w:rsid w:val="00EA3810"/>
    <w:rsid w:val="00EA3A3E"/>
    <w:rsid w:val="00EA5CF5"/>
    <w:rsid w:val="00EB3800"/>
    <w:rsid w:val="00EB6221"/>
    <w:rsid w:val="00EC24F3"/>
    <w:rsid w:val="00EC7861"/>
    <w:rsid w:val="00EC7F3A"/>
    <w:rsid w:val="00ED07FE"/>
    <w:rsid w:val="00ED10E1"/>
    <w:rsid w:val="00ED6BCC"/>
    <w:rsid w:val="00EF0506"/>
    <w:rsid w:val="00EF0F9C"/>
    <w:rsid w:val="00EF1929"/>
    <w:rsid w:val="00EF37C0"/>
    <w:rsid w:val="00EF6AE8"/>
    <w:rsid w:val="00F01EB6"/>
    <w:rsid w:val="00F04C77"/>
    <w:rsid w:val="00F057AD"/>
    <w:rsid w:val="00F12CB0"/>
    <w:rsid w:val="00F12CFE"/>
    <w:rsid w:val="00F204F1"/>
    <w:rsid w:val="00F24755"/>
    <w:rsid w:val="00F30B8A"/>
    <w:rsid w:val="00F32451"/>
    <w:rsid w:val="00F353BA"/>
    <w:rsid w:val="00F357BE"/>
    <w:rsid w:val="00F42810"/>
    <w:rsid w:val="00F435E6"/>
    <w:rsid w:val="00F52F5A"/>
    <w:rsid w:val="00F55888"/>
    <w:rsid w:val="00F711D2"/>
    <w:rsid w:val="00F72F3A"/>
    <w:rsid w:val="00F7301C"/>
    <w:rsid w:val="00F766C4"/>
    <w:rsid w:val="00F81086"/>
    <w:rsid w:val="00F85BC2"/>
    <w:rsid w:val="00F90471"/>
    <w:rsid w:val="00F96318"/>
    <w:rsid w:val="00F96D40"/>
    <w:rsid w:val="00F97AD0"/>
    <w:rsid w:val="00FA565C"/>
    <w:rsid w:val="00FA666F"/>
    <w:rsid w:val="00FB4DA7"/>
    <w:rsid w:val="00FC2AFA"/>
    <w:rsid w:val="00FD35DE"/>
    <w:rsid w:val="00FD39AE"/>
    <w:rsid w:val="00FE5A9C"/>
    <w:rsid w:val="00FE5D25"/>
    <w:rsid w:val="00FF1476"/>
    <w:rsid w:val="00FF44F3"/>
    <w:rsid w:val="00FF6023"/>
    <w:rsid w:val="00FF6721"/>
    <w:rsid w:val="00FF681D"/>
    <w:rsid w:val="069B49E3"/>
    <w:rsid w:val="08EB043C"/>
    <w:rsid w:val="0DE7591B"/>
    <w:rsid w:val="14426F48"/>
    <w:rsid w:val="151B6A0F"/>
    <w:rsid w:val="16994C0F"/>
    <w:rsid w:val="18D12AD5"/>
    <w:rsid w:val="1B9C4EDF"/>
    <w:rsid w:val="286623E0"/>
    <w:rsid w:val="2AAF4215"/>
    <w:rsid w:val="383A2F35"/>
    <w:rsid w:val="38A20DF8"/>
    <w:rsid w:val="3921020D"/>
    <w:rsid w:val="3B59226A"/>
    <w:rsid w:val="3C5D4096"/>
    <w:rsid w:val="4154383A"/>
    <w:rsid w:val="4330314B"/>
    <w:rsid w:val="4511266A"/>
    <w:rsid w:val="4A0F0210"/>
    <w:rsid w:val="4C787385"/>
    <w:rsid w:val="51E521F0"/>
    <w:rsid w:val="52D875D9"/>
    <w:rsid w:val="52DB085C"/>
    <w:rsid w:val="5B026586"/>
    <w:rsid w:val="5B893603"/>
    <w:rsid w:val="5CCC024F"/>
    <w:rsid w:val="5EA16BE1"/>
    <w:rsid w:val="6CFB4785"/>
    <w:rsid w:val="717D06BD"/>
    <w:rsid w:val="74AB0875"/>
    <w:rsid w:val="76BF6C12"/>
    <w:rsid w:val="7E6159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kern w:val="2"/>
      <w:sz w:val="32"/>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Cs w:val="32"/>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3">
    <w:name w:val="Document Map"/>
    <w:basedOn w:val="1"/>
    <w:link w:val="20"/>
    <w:uiPriority w:val="0"/>
    <w:rPr>
      <w:rFonts w:ascii="宋体" w:eastAsia="宋体"/>
      <w:sz w:val="18"/>
      <w:szCs w:val="18"/>
    </w:rPr>
  </w:style>
  <w:style w:type="paragraph" w:styleId="4">
    <w:name w:val="annotation text"/>
    <w:basedOn w:val="1"/>
    <w:link w:val="21"/>
    <w:semiHidden/>
    <w:uiPriority w:val="0"/>
    <w:pPr>
      <w:jc w:val="left"/>
    </w:pPr>
    <w:rPr>
      <w:rFonts w:eastAsia="宋体"/>
      <w:sz w:val="21"/>
    </w:rPr>
  </w:style>
  <w:style w:type="paragraph" w:styleId="5">
    <w:name w:val="Balloon Text"/>
    <w:basedOn w:val="1"/>
    <w:link w:val="16"/>
    <w:uiPriority w:val="0"/>
    <w:rPr>
      <w:sz w:val="18"/>
      <w:szCs w:val="18"/>
    </w:rPr>
  </w:style>
  <w:style w:type="paragraph" w:styleId="6">
    <w:name w:val="footer"/>
    <w:basedOn w:val="1"/>
    <w:link w:val="17"/>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99"/>
    <w:pPr>
      <w:widowControl/>
      <w:spacing w:before="100" w:beforeAutospacing="1" w:after="100" w:afterAutospacing="1"/>
      <w:jc w:val="left"/>
    </w:pPr>
    <w:rPr>
      <w:rFonts w:ascii="宋体" w:hAnsi="宋体" w:eastAsia="宋体" w:cs="宋体"/>
      <w:kern w:val="0"/>
      <w:sz w:val="24"/>
      <w:szCs w:val="20"/>
    </w:rPr>
  </w:style>
  <w:style w:type="paragraph" w:styleId="9">
    <w:name w:val="annotation subject"/>
    <w:basedOn w:val="4"/>
    <w:next w:val="4"/>
    <w:semiHidden/>
    <w:uiPriority w:val="0"/>
    <w:rPr>
      <w:rFonts w:eastAsia="方正仿宋简体"/>
      <w:b/>
      <w:bCs/>
      <w:sz w:val="32"/>
    </w:rPr>
  </w:style>
  <w:style w:type="character" w:styleId="12">
    <w:name w:val="Strong"/>
    <w:qFormat/>
    <w:uiPriority w:val="22"/>
    <w:rPr>
      <w:b/>
      <w:bCs/>
    </w:rPr>
  </w:style>
  <w:style w:type="character" w:styleId="13">
    <w:name w:val="page number"/>
    <w:basedOn w:val="11"/>
    <w:uiPriority w:val="0"/>
  </w:style>
  <w:style w:type="character" w:styleId="14">
    <w:name w:val="Emphasis"/>
    <w:qFormat/>
    <w:uiPriority w:val="20"/>
    <w:rPr>
      <w:i/>
      <w:iCs/>
    </w:rPr>
  </w:style>
  <w:style w:type="character" w:styleId="15">
    <w:name w:val="annotation reference"/>
    <w:semiHidden/>
    <w:uiPriority w:val="99"/>
    <w:rPr>
      <w:sz w:val="21"/>
      <w:szCs w:val="21"/>
    </w:rPr>
  </w:style>
  <w:style w:type="character" w:customStyle="1" w:styleId="16">
    <w:name w:val="批注框文本 Char"/>
    <w:link w:val="5"/>
    <w:uiPriority w:val="0"/>
    <w:rPr>
      <w:rFonts w:eastAsia="方正仿宋简体"/>
      <w:kern w:val="2"/>
      <w:sz w:val="18"/>
      <w:szCs w:val="18"/>
    </w:rPr>
  </w:style>
  <w:style w:type="character" w:customStyle="1" w:styleId="17">
    <w:name w:val="页脚 Char"/>
    <w:link w:val="6"/>
    <w:uiPriority w:val="99"/>
    <w:rPr>
      <w:rFonts w:eastAsia="方正仿宋简体"/>
      <w:kern w:val="2"/>
      <w:sz w:val="18"/>
      <w:szCs w:val="18"/>
    </w:rPr>
  </w:style>
  <w:style w:type="character" w:customStyle="1" w:styleId="18">
    <w:name w:val="批注文字 Char1"/>
    <w:semiHidden/>
    <w:locked/>
    <w:uiPriority w:val="0"/>
    <w:rPr>
      <w:kern w:val="2"/>
      <w:sz w:val="21"/>
      <w:szCs w:val="24"/>
    </w:rPr>
  </w:style>
  <w:style w:type="character" w:customStyle="1" w:styleId="19">
    <w:name w:val="lemmatitleh11"/>
    <w:basedOn w:val="11"/>
    <w:uiPriority w:val="0"/>
  </w:style>
  <w:style w:type="character" w:customStyle="1" w:styleId="20">
    <w:name w:val="文档结构图 Char"/>
    <w:link w:val="3"/>
    <w:uiPriority w:val="0"/>
    <w:rPr>
      <w:rFonts w:ascii="宋体"/>
      <w:kern w:val="2"/>
      <w:sz w:val="18"/>
      <w:szCs w:val="18"/>
    </w:rPr>
  </w:style>
  <w:style w:type="character" w:customStyle="1" w:styleId="21">
    <w:name w:val="批注文字 Char"/>
    <w:link w:val="4"/>
    <w:uiPriority w:val="0"/>
    <w:rPr>
      <w:rFonts w:eastAsia="宋体"/>
      <w:kern w:val="2"/>
      <w:sz w:val="21"/>
      <w:szCs w:val="24"/>
      <w:lang w:val="en-US" w:eastAsia="zh-CN" w:bidi="ar-SA"/>
    </w:rPr>
  </w:style>
  <w:style w:type="paragraph" w:customStyle="1" w:styleId="22">
    <w:name w:val="Char"/>
    <w:basedOn w:val="1"/>
    <w:uiPriority w:val="0"/>
    <w:rPr>
      <w:rFonts w:ascii="Tahoma" w:hAnsi="Tahoma" w:eastAsia="宋体"/>
      <w:sz w:val="24"/>
      <w:szCs w:val="20"/>
    </w:rPr>
  </w:style>
  <w:style w:type="paragraph" w:styleId="23">
    <w:name w:val=""/>
    <w:unhideWhenUsed/>
    <w:uiPriority w:val="99"/>
    <w:rPr>
      <w:rFonts w:eastAsia="方正仿宋简体"/>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gxcc</Company>
  <Pages>9</Pages>
  <Words>713</Words>
  <Characters>4065</Characters>
  <Lines>33</Lines>
  <Paragraphs>9</Paragraphs>
  <TotalTime>2</TotalTime>
  <ScaleCrop>false</ScaleCrop>
  <LinksUpToDate>false</LinksUpToDate>
  <CharactersWithSpaces>4769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2018-08-22T04:36:00Z</dcterms:created>
  <dc:creator>p1122</dc:creator>
  <cp:lastModifiedBy>yinxx</cp:lastModifiedBy>
  <cp:lastPrinted>2018-11-09T08:05:00Z</cp:lastPrinted>
  <dcterms:modified xsi:type="dcterms:W3CDTF">2022-03-17T05:48:00Z</dcterms:modified>
  <dc:title>委（厅）上报文件头</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6667476A9402438581921622ACBF8CD8</vt:lpwstr>
  </property>
</Properties>
</file>