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1D5E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命题1  基于数字经济智能对抗实训平台的</w:t>
      </w:r>
    </w:p>
    <w:p w14:paraId="1851A3F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AI赋能数字企业全周期运营优化方案设计</w:t>
      </w:r>
    </w:p>
    <w:p w14:paraId="759837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1.命题方向</w:t>
      </w:r>
    </w:p>
    <w:p w14:paraId="2C2ACC0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数字经济+AI应用类</w:t>
      </w:r>
    </w:p>
    <w:p w14:paraId="7D3E583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2.题目类别</w:t>
      </w:r>
    </w:p>
    <w:p w14:paraId="5836BF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应用类</w:t>
      </w:r>
    </w:p>
    <w:p w14:paraId="55A29B8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3.题目名称</w:t>
      </w:r>
    </w:p>
    <w:p w14:paraId="67971FB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基于数字经济智能对抗实训平台的AI赋能数字企业全周期运营优化方案设计</w:t>
      </w:r>
    </w:p>
    <w:p w14:paraId="58C408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4.背景说明</w:t>
      </w:r>
    </w:p>
    <w:p w14:paraId="51B567F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【整体背景】</w:t>
      </w:r>
    </w:p>
    <w:p w14:paraId="33E250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字经济与人工智能技术的深度融合，正重塑企业运营的核心逻辑。当前数字企业面临市场需求瞬息万变、跨领域数据爆炸式增长、运营决策复杂度激增等挑战，传统运营模式在数据处理效率、决策精准度、资源适配灵活性等方面已难以满足发展需求。AI技术作为数字经济的核心驱动力，能够实现数据的深度挖掘、智能决策生成与动态优化，而专业化的数字经济实训平台则为AI技术的落地应用提供了真实场景支撑。亟需构建AI赋能的数字企业运营体系，依托实训平台的场景模拟与数据沉淀优势，探索全周期运营优化路径，推动数字企业实现智能化、高效化发展。</w:t>
      </w:r>
    </w:p>
    <w:p w14:paraId="2BFE7EB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【公司背景】</w:t>
      </w:r>
    </w:p>
    <w:p w14:paraId="5EBA913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浙江精创教育科技有限公司是一家集院校数智化产品、服务及产教融合为一体的国家高新技术企业，是中国领先的新商科数智化人才培养服务提供商。自成立以来，公司始终将数智化技术和理念融入院校人才培养，为数字经济、工商管理、人力资源管理等多个新商科专业领域提供“数智+”综合教育产品与云服务解决方案。</w:t>
      </w:r>
    </w:p>
    <w:p w14:paraId="62CDB76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坚持“产教融合、实践育人”，依托精创云平台举办多项全国性竞赛，累计服务2000余家院校客户，培训教学师资3万余人次，支持数智化证书认证5万余人次。长期投入高新技术及数智化平台研发，拥有专利、软著等自主知识产权产品130余款，通过ISO27001信息安全管理体系和ISO9001质量管理体系等资质认证，在数智化人才培养与产教融合领域具备深厚的技术积累和丰富的实践经验，为AI技术与数字经济运营的融合实践提供了坚实基础。</w:t>
      </w:r>
    </w:p>
    <w:p w14:paraId="54D3875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【业务背景】</w:t>
      </w:r>
    </w:p>
    <w:p w14:paraId="5BE1E67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字经济智能对抗实训平台以平台经济为核心，涵盖大数据分析、数智决策、数字营销、数字物流等全流程功能模块，模拟真实数字经济竞争环境。AI技术与平台功能的结合，能够进一步放大平台的实践价值：AI可优化平台数据清洗与分析效率，实现市场趋势的精准预测；通过智能决策算法，为数字金融配置、人才招聘、平台运营等提供最优方案；借助AI营销工具，实现用户精准触达与转化；利用AI物流调度模型，提升供应链协同效率。</w:t>
      </w:r>
    </w:p>
    <w:p w14:paraId="5EA574B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前数字企业运营中，AI技术的应用仍存在场景碎片化、落地成本高、与业务适配性不足等问题。依托该实训平台，可构建低成本、高仿真的AI赋能运营场景，针对性解决数字企业在全周期运营中的决策滞后、资源浪费、风险防控不足等痛点，为AI技术在数字企业运营中的规模化应用提供可复制的实践范式。</w:t>
      </w:r>
    </w:p>
    <w:p w14:paraId="05C6B0B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5.项目说明</w:t>
      </w:r>
    </w:p>
    <w:p w14:paraId="11172EF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【问题说明】</w:t>
      </w:r>
    </w:p>
    <w:p w14:paraId="225CA2A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1、结合平台2个以上核心功能模块，融入AI技术，分析AI在数字企业各发展阶段的核心作用、应用场景及价值增量，定位赋能关键切入点。</w:t>
      </w:r>
    </w:p>
    <w:p w14:paraId="301A48F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2、利用平台实战对抗与动态市场特性，设计AI驱动的竞争场景，阐述AI优化对抗策略、调整运营方案的方法，提升决策效率与精准度。</w:t>
      </w:r>
    </w:p>
    <w:p w14:paraId="10E2C04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3、基于平台数据与AI分析能力，构建运营综合评价指标体系，明确指标定义、权重及计算模型，实现实时监测、异常预警与优化建议生成，形成闭环。</w:t>
      </w:r>
    </w:p>
    <w:p w14:paraId="0378CB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【用户期望】</w:t>
      </w:r>
    </w:p>
    <w:p w14:paraId="27DB63F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希望通过本命题的研究与实践，充分发挥数字经济智能对抗实训平台的场景优势与AI技术的赋能价值，为数字企业全周期运营提供创新性、可落地的智能优化方案。</w:t>
      </w:r>
    </w:p>
    <w:p w14:paraId="384152F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具体期望包括：一是帮助数字企业运营者掌握AI与业务深度融合的运营方法，提升决策精准度、资源配置效率与市场应变能力，增强企业核心竞争力；</w:t>
      </w:r>
    </w:p>
    <w:p w14:paraId="4D98D6C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是为院校数字经济、人工智能相关专业提供“数字经济+AI”的跨学科教学模式与实践载体，强化学生的AI应用能力与实战运营能力；三是深化产教融合，推动AI技术在数字经济产业的落地应用，为行业培育更多既懂数字经济运营又掌握AI技术的复合型人才。</w:t>
      </w:r>
    </w:p>
    <w:p w14:paraId="4295645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6.任务要求</w:t>
      </w:r>
    </w:p>
    <w:p w14:paraId="794F173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【开发说明】</w:t>
      </w:r>
    </w:p>
    <w:p w14:paraId="246017C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基于数字经济智能对抗实训平台融合AI技术，设计数字企业全周期运营智能优化方案，结合平台功能、AI特性与企业需求，涵盖策略制定、资源配置等关键环节，突出智能化、实战性与可操作性。</w:t>
      </w:r>
    </w:p>
    <w:p w14:paraId="193F119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【技术要求与指标】</w:t>
      </w:r>
    </w:p>
    <w:p w14:paraId="7EBC5D4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1、全周期运营流程优化：融合AI技术与平台功能，设计各阶段智能运营流程，明确AI应用场景、实现路径及与平台的协同方式。</w:t>
      </w:r>
    </w:p>
    <w:p w14:paraId="65A7577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2、实战对抗场景设计：打造AI赋能的竞争场景，包含态势分析、决策建议、策略优化等模块，设定对抗规则与变量，总结教学方法。</w:t>
      </w:r>
    </w:p>
    <w:p w14:paraId="51ED160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3、综合评价指标体系构建：构建涵盖智能运营效率、盈利能力等维度的指标体系，明确权重与计算模型，实现数据采集、监测、预警与优化建议的闭环管理。</w:t>
      </w:r>
    </w:p>
    <w:p w14:paraId="4D45ACA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【提交材料】</w:t>
      </w:r>
    </w:p>
    <w:p w14:paraId="133B3AB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1、项目概要介绍；</w:t>
      </w:r>
    </w:p>
    <w:p w14:paraId="5DAA377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2、项目简介PPT；</w:t>
      </w:r>
    </w:p>
    <w:p w14:paraId="1078088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3、项目前期研究报告（含数字企业AI应用现状调研）；</w:t>
      </w:r>
    </w:p>
    <w:p w14:paraId="4089EFE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4、项目详细方案（含AI技术与平台功能的融合设计、技术实现路径）；</w:t>
      </w:r>
    </w:p>
    <w:p w14:paraId="189F755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5、团队自愿提交的其他补充材料</w:t>
      </w:r>
    </w:p>
    <w:p w14:paraId="7368BDF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【任务清单】</w:t>
      </w:r>
    </w:p>
    <w:p w14:paraId="1E0A0C4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1、调研数字经济企业AI应用现状与运营痛点，分析不同发展阶段AI赋能的核心需求与难点；</w:t>
      </w:r>
    </w:p>
    <w:p w14:paraId="592936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2、梳理平台功能与AI技术的适配性，明确二者融合的核心应用方向；</w:t>
      </w:r>
    </w:p>
    <w:p w14:paraId="34D6EFF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3、结合平台、AI技术与企业需求，设计各阶段AI赋能运营优化流程及技术实现方案；</w:t>
      </w:r>
    </w:p>
    <w:p w14:paraId="140258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4、构建AI驱动的实战对抗场景，制定对抗规则，通过模拟竞争验证方案有效性；</w:t>
      </w:r>
    </w:p>
    <w:p w14:paraId="18774FE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5、搭建运营综合评价指标体系，明确指标计算模型与数据采集路径，实现运营效果智能监测与持续优化；</w:t>
      </w:r>
    </w:p>
    <w:p w14:paraId="7BA9837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6、从AI应用成效、运营效率、企业竞争力等方面，评估方案实践价值与可行性。</w:t>
      </w:r>
    </w:p>
    <w:p w14:paraId="7E9AC450">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338D1ACD">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4573B171">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31A8BAA3">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2D9FFE4C">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70C33AA3">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4B52A3A9">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2ABB64AA">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275D4D24">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5291577D">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37D4671C">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5C04DC21">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049D7926">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47215438">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4B1179E5">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36EEFAB1">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3A56CFEB">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lang w:val="en-US" w:eastAsia="zh-CN"/>
        </w:rPr>
      </w:pPr>
    </w:p>
    <w:p w14:paraId="5E21921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命题2 </w:t>
      </w: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基于人力资源管理综合实训平台的企业人力资源全模块优化方案设计</w:t>
      </w:r>
    </w:p>
    <w:p w14:paraId="4040CBC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1.命题方向</w:t>
      </w:r>
    </w:p>
    <w:p w14:paraId="6B76187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人力资源管理类</w:t>
      </w:r>
    </w:p>
    <w:p w14:paraId="6068B49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2.题目类别</w:t>
      </w:r>
    </w:p>
    <w:p w14:paraId="40A25B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应用类</w:t>
      </w:r>
    </w:p>
    <w:p w14:paraId="367732C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3.题目名称</w:t>
      </w:r>
    </w:p>
    <w:p w14:paraId="452264E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基于人力资源管理综合实训平台的企业人力资源全模块优化方案设计</w:t>
      </w:r>
    </w:p>
    <w:p w14:paraId="4971107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4.背景说明</w:t>
      </w:r>
    </w:p>
    <w:p w14:paraId="63C979D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【整体背景】</w:t>
      </w:r>
    </w:p>
    <w:p w14:paraId="2EF4B12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数智化转型加速的当下，企业人力资源管理面临着组织架构动态调整、人才供需失衡、绩效管理精准度不足、薪酬体系缺乏竞争力等多重挑战。传统人力资源管理模式流程固化、数据割裂，难以适配企业快速发展对人才管理的精细化、高效化需求。亟需依托专业化的数智化实训平台，整合人力资源管理六大核心模块，探索覆盖人才“选、育、用、留”全流程的优化路径，助力企业提升人力资源管理效能，强化人才核心竞争力。</w:t>
      </w:r>
    </w:p>
    <w:p w14:paraId="06459F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【公司背景】</w:t>
      </w:r>
    </w:p>
    <w:p w14:paraId="250E89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浙江精创教育科技有限公司是一家集院校数智化产品、服务及产教融合为一体的国家高新技术企业，是中国领先的新商科数智化人才培养服务提供商。自成立以来，公司始终将数智化技术和理念融入院校人才培养，为数字经济、工商管理、人力资源管理等多个新商科专业领域提供“数智+”综合教育产品与云服务解决方案。</w:t>
      </w:r>
    </w:p>
    <w:p w14:paraId="7093737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坚持“产教融合、实践育人”，依托精创云平台举办多项全国性竞赛，累计服务2000余家院校客户，培训教学师资3万余人次，支持数智化证书认证5万余人次。长期投入高新技术及数智化平台研发，拥有专利、软著等自主知识产权产品130余款，通过ISO27001信息安全管理体系和ISO9001质量管理体系等资质认证，在数智化人才培养与产教融合领域具备深厚的技术积累和丰富的实践经验，在数智化人力资源教育产品研发与实践应用方面具备深厚积累与丰富经验。</w:t>
      </w:r>
    </w:p>
    <w:p w14:paraId="6F8D7CA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【业务背景】</w:t>
      </w:r>
    </w:p>
    <w:p w14:paraId="1E5515E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人力资源管理的六大核心模块环环相扣，却常存在流程脱节、标准模糊、实操性不足等问题。例如，招聘标准与岗位需求不匹配、培训内容与绩效提升脱节、薪酬激励与员工价值不符等，导致人力资源管理投入与产出失衡。人力资源管理综合实训平台以仿真企业背景为依托，实现了六大模块的系统串联，通过分角色体验、流程化模拟等功能，为企业人力资源管理全流程优化提供了实战化支撑，可帮助企业打通模块壁垒，提升管理的规范性与有效性。</w:t>
      </w:r>
    </w:p>
    <w:p w14:paraId="460C61E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5.项目说明</w:t>
      </w:r>
    </w:p>
    <w:p w14:paraId="5E2CAD6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【问题说明】</w:t>
      </w:r>
    </w:p>
    <w:p w14:paraId="23AD87E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1、需选取人力资源管理六大模块中的2-3个核心模块，结合企业实际运营痛点，分析模块间协同不足的问题，并依托平台功能提出一体化优化方案。</w:t>
      </w:r>
    </w:p>
    <w:p w14:paraId="5D354E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2、需利用平台的实训与流程化模拟功能，设计贴合企业真实场景的人力资源管理实战演练方案，阐述如何通过模拟操作提升HR人员的实操能力与决策效率，明确演练流程、角色分配及考核标准。</w:t>
      </w:r>
    </w:p>
    <w:p w14:paraId="2298D00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3、需基于平台的实验数据与行业基准，构建企业人力资源管理效能评价指标体系，涵盖模块协同效率、人才培养质量、员工满意度等维度。</w:t>
      </w:r>
    </w:p>
    <w:p w14:paraId="33BBF8F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【用户期望】</w:t>
      </w:r>
    </w:p>
    <w:p w14:paraId="63A0CEF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希望通过本命题的研究与实践，充分发挥人力资源管理综合实训平台的场景化、实战化优势，为企业人力资源管理全流程优化提供可落地的解决方案。</w:t>
      </w:r>
    </w:p>
    <w:p w14:paraId="4E4FBA1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体期望包括：一是帮助企业打通六大模块协同壁垒，解决人力资源管理中的实际痛点，提升管理标准化与精细化水平；二是为院校人力资源管理专业教学提供“理论+实操”的一体化实践模式，增强学生的岗位适配能力；三是推动产教融合深度落地，实现企业人力资源管理需求与院校人才培养的精准对接，为行业输送具备实战能力的数智化人力资源管理人才。</w:t>
      </w:r>
    </w:p>
    <w:p w14:paraId="74C1704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6.任务要求</w:t>
      </w:r>
    </w:p>
    <w:p w14:paraId="02ABEEC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【开发说明】</w:t>
      </w:r>
    </w:p>
    <w:p w14:paraId="3643725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赛团队需基于人力资源管理综合实训平台，设计一套针对企业人力资源六大模块的全流程优化方案。方案需紧密结合平台的专业内容、流程模拟等核心功能，覆盖人力资源管理关键环节，突出实操性、创新性与协同性。</w:t>
      </w:r>
    </w:p>
    <w:p w14:paraId="0567E1D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【技术要求与指标】</w:t>
      </w:r>
    </w:p>
    <w:p w14:paraId="34E98C2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1、模块协同优化设计：设计各模块数据互通与流程协同方案，涵盖规划制定、招聘与岗位匹配、培训与绩效联动、薪酬与绩效挂钩等关键环节；</w:t>
      </w:r>
    </w:p>
    <w:p w14:paraId="0F02942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2、实战演练方案设计：明确演练场景、操作步骤及评价标准，通过模拟真实场景提升参与者实操能力；</w:t>
      </w:r>
    </w:p>
    <w:p w14:paraId="227896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3、效能评价体系构建：构建包含规划科学性、招聘精准度等核心指标的评价体系，明确权重、计算方法及平台数据采集与动态监测方式。</w:t>
      </w:r>
    </w:p>
    <w:p w14:paraId="7E34243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【提交材料】</w:t>
      </w:r>
    </w:p>
    <w:p w14:paraId="058B962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1.项目概要介绍；</w:t>
      </w:r>
    </w:p>
    <w:p w14:paraId="20943C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2.项目简介PPT；</w:t>
      </w:r>
    </w:p>
    <w:p w14:paraId="1F59897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3.项目详细方案；</w:t>
      </w:r>
    </w:p>
    <w:p w14:paraId="641146B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4.项目前期研究报告（含企业人力资源管理痛点分析）</w:t>
      </w:r>
    </w:p>
    <w:p w14:paraId="2FEF710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5.团队自愿提交的其他补充材料。</w:t>
      </w:r>
    </w:p>
    <w:p w14:paraId="5783422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【任务清单】</w:t>
      </w:r>
    </w:p>
    <w:p w14:paraId="7ADC7AB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1、对企业人力资源管理现状进行调研，深入分析模块在实际运营中存在的协同问题与痛点；</w:t>
      </w:r>
    </w:p>
    <w:p w14:paraId="395A0A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val="en-US" w:eastAsia="zh-CN"/>
        </w:rPr>
        <w:t>研究人力资源管理综合实训平台的功能特点与应用场景，明确平台在模块协同、实战模拟、数据监测等方面的应用重点；</w:t>
      </w:r>
    </w:p>
    <w:p w14:paraId="2A8A5C1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3、结合平台功能与企业需求，设计人力资源管理六大模块的协同优化流程与实操方案；</w:t>
      </w:r>
    </w:p>
    <w:p w14:paraId="63A1FBC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4、基于平台的流程模拟功能，制定实战演练方案，明确场景设置及考核机制；</w:t>
      </w:r>
    </w:p>
    <w:p w14:paraId="04699EA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5、构建人力资源管理效能评价指标体系，验证其科学性与可行性，并说明数据采集与动态监测的方法；</w:t>
      </w:r>
    </w:p>
    <w:p w14:paraId="61AE882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6、从企业应用效果、参与者能力提升等多方面，评估所设计方案的实际应用价值与落地可行性。</w:t>
      </w:r>
    </w:p>
    <w:p w14:paraId="5F7EB19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14:paraId="31C538D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14:paraId="4CC716A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14:paraId="1564CDA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14:paraId="66DC7B0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14:paraId="293AA4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14:paraId="281D269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14:paraId="69B47E0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14:paraId="02D27BC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14:paraId="22DA2A8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14:paraId="0DFAC11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lang w:val="en-US" w:eastAsia="zh-CN"/>
        </w:rPr>
      </w:pPr>
    </w:p>
    <w:p w14:paraId="5BD0CAE4">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22722FEF">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059174FB">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76402C29">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6CCDD5AE">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730AF10B">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45A0A5E8">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577ECF48">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2673DD6D">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52089181">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1D8CCBC6">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311D57D4">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696C93EC">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0CB8A423">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lang w:val="en-US" w:eastAsia="zh-CN"/>
        </w:rPr>
      </w:pPr>
    </w:p>
    <w:p w14:paraId="69ED613A">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 xml:space="preserve">命题3       </w:t>
      </w:r>
      <w:r>
        <w:rPr>
          <w:rFonts w:hint="eastAsia" w:ascii="宋体" w:hAnsi="宋体" w:eastAsia="宋体" w:cs="宋体"/>
          <w:b/>
          <w:bCs/>
          <w:sz w:val="24"/>
          <w:szCs w:val="24"/>
        </w:rPr>
        <w:t>AI+小红书：财经内容运营与职业成长</w:t>
      </w:r>
    </w:p>
    <w:p w14:paraId="6744A83F">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命题名称</w:t>
      </w:r>
    </w:p>
    <w:p w14:paraId="7F4B402C">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bookmarkStart w:id="0" w:name="OLE_LINK3"/>
      <w:r>
        <w:rPr>
          <w:rFonts w:hint="eastAsia" w:ascii="宋体" w:hAnsi="宋体" w:eastAsia="宋体" w:cs="宋体"/>
          <w:sz w:val="24"/>
          <w:szCs w:val="24"/>
        </w:rPr>
        <w:t>AI+小红书：财经内容运营与职业成长实战挑战赛</w:t>
      </w:r>
      <w:bookmarkEnd w:id="0"/>
    </w:p>
    <w:p w14:paraId="54413B71">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命题方向</w:t>
      </w:r>
    </w:p>
    <w:p w14:paraId="501925F5">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新媒体运营/数字化营销/职业教育内容创作</w:t>
      </w:r>
    </w:p>
    <w:p w14:paraId="3485825D">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题目类别</w:t>
      </w:r>
    </w:p>
    <w:p w14:paraId="39942206">
      <w:pPr>
        <w:keepNext w:val="0"/>
        <w:keepLines w:val="0"/>
        <w:pageBreakBefore w:val="0"/>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应用类/创意类/实战类</w:t>
      </w:r>
    </w:p>
    <w:p w14:paraId="662F3A67">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命题背景</w:t>
      </w:r>
    </w:p>
    <w:p w14:paraId="042B7CBD">
      <w:pPr>
        <w:keepNext w:val="0"/>
        <w:keepLines w:val="0"/>
        <w:pageBreakBefore w:val="0"/>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在数字经济与新质生产力发展的大背景下，职业教育正成为大学生提升就业竞争力的关键路径。小红书作为年轻用户高度聚集的内容社区，已成为知识分享、职业规划、技能提升的重要平台。与此同时，AI工具（如DeepSeek、豆包、扣子、元宝、即梦、剪映等）的普及，为内容创作提供了前所未有的效率与创意空间。</w:t>
      </w:r>
    </w:p>
    <w:p w14:paraId="71CA7A33">
      <w:pPr>
        <w:keepNext w:val="0"/>
        <w:keepLines w:val="0"/>
        <w:pageBreakBefore w:val="0"/>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金程教育作为深耕财经培训25年的专业机构，始终秉承“专业来自101%的投入”的理念，致力于帮助大学生通过考证、实习、实操等方式实现高质量就业。金程拥有丰富的课程体系</w:t>
      </w:r>
      <w:bookmarkStart w:id="1" w:name="OLE_LINK1"/>
      <w:r>
        <w:rPr>
          <w:rFonts w:hint="eastAsia" w:ascii="宋体" w:hAnsi="宋体" w:eastAsia="宋体" w:cs="宋体"/>
          <w:sz w:val="24"/>
          <w:szCs w:val="24"/>
        </w:rPr>
        <w:t>（CFA、FRM、CPA、ACCA、RFP、考研、实操技能等</w:t>
      </w:r>
      <w:bookmarkEnd w:id="1"/>
      <w:r>
        <w:rPr>
          <w:rFonts w:hint="eastAsia" w:ascii="宋体" w:hAnsi="宋体" w:eastAsia="宋体" w:cs="宋体"/>
          <w:sz w:val="24"/>
          <w:szCs w:val="24"/>
        </w:rPr>
        <w:t>，金程教育官网：</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"https://www.gfedu.cn/" </w:instrText>
      </w:r>
      <w:r>
        <w:rPr>
          <w:rFonts w:hint="eastAsia" w:ascii="宋体" w:hAnsi="宋体" w:eastAsia="宋体" w:cs="宋体"/>
          <w:sz w:val="24"/>
          <w:szCs w:val="24"/>
        </w:rPr>
        <w:fldChar w:fldCharType="separate"/>
      </w:r>
      <w:r>
        <w:rPr>
          <w:rStyle w:val="10"/>
          <w:rFonts w:hint="eastAsia" w:ascii="宋体" w:hAnsi="宋体" w:eastAsia="宋体" w:cs="宋体"/>
          <w:sz w:val="24"/>
          <w:szCs w:val="24"/>
        </w:rPr>
        <w:t>https://www.gfedu.cn/</w:t>
      </w:r>
      <w:r>
        <w:rPr>
          <w:rStyle w:val="10"/>
          <w:rFonts w:hint="eastAsia" w:ascii="宋体" w:hAnsi="宋体" w:eastAsia="宋体" w:cs="宋体"/>
          <w:sz w:val="24"/>
          <w:szCs w:val="24"/>
        </w:rPr>
        <w:fldChar w:fldCharType="end"/>
      </w:r>
      <w:r>
        <w:rPr>
          <w:rFonts w:hint="eastAsia" w:ascii="宋体" w:hAnsi="宋体" w:eastAsia="宋体" w:cs="宋体"/>
          <w:sz w:val="24"/>
          <w:szCs w:val="24"/>
        </w:rPr>
        <w:t>）、强大的师资团队和深厚的行业资源，是财经教育领域的匠心品牌。</w:t>
      </w:r>
    </w:p>
    <w:p w14:paraId="0B1EC1D9">
      <w:pPr>
        <w:keepNext w:val="0"/>
        <w:keepLines w:val="0"/>
        <w:pageBreakBefore w:val="0"/>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本次命题旨在引导大学生团队结合AI工具，围绕金程教育的核心课程与品牌理念，策划并执行一套具有传播力、转化力、影响力的内容运营方案，在提升自身职业素养的同时，助力金程品牌在小红书平台的年轻化传播。</w:t>
      </w:r>
    </w:p>
    <w:p w14:paraId="24D3E70A">
      <w:pPr>
        <w:keepNext w:val="0"/>
        <w:keepLines w:val="0"/>
        <w:pageBreakBefore w:val="0"/>
        <w:kinsoku/>
        <w:wordWrap/>
        <w:overflowPunct/>
        <w:topLinePunct w:val="0"/>
        <w:autoSpaceDE/>
        <w:autoSpaceDN/>
        <w:bidi w:val="0"/>
        <w:adjustRightInd/>
        <w:snapToGrid/>
        <w:spacing w:after="0" w:line="500" w:lineRule="exact"/>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br w:type="page"/>
      </w:r>
    </w:p>
    <w:p w14:paraId="72B2C3EE">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参与这个命题，你将收获什么？</w:t>
      </w:r>
    </w:p>
    <w:p w14:paraId="17B6459C">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我们为热爱创作、关注职业发展、想提前接触AI工具的你，设计了一个“边参赛边成长”的实战命题。如果你对财经、职场、技能提升感兴趣，或者想试试用AI做内容，这个命题将是你最好的练兵场。</w:t>
      </w:r>
    </w:p>
    <w:p w14:paraId="4351A055">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你将会：</w:t>
      </w:r>
    </w:p>
    <w:p w14:paraId="46992599">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rPr>
        <w:t>打造属于你的内容作品集</w:t>
      </w:r>
    </w:p>
    <w:p w14:paraId="7C4433B2">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在小红书发布2-3条由你策划、拍摄、撰写的原创内容，无论图文还是视频，都将成为你未来求职时可展示的“实战作品”。</w:t>
      </w:r>
    </w:p>
    <w:p w14:paraId="564C86A2">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rPr>
        <w:t>掌握</w:t>
      </w:r>
      <w:r>
        <w:rPr>
          <w:rFonts w:hint="eastAsia" w:ascii="宋体" w:hAnsi="宋体" w:eastAsia="宋体" w:cs="宋体"/>
          <w:b/>
          <w:bCs/>
          <w:sz w:val="24"/>
          <w:szCs w:val="24"/>
        </w:rPr>
        <w:t>AI</w:t>
      </w:r>
      <w:r>
        <w:rPr>
          <w:rFonts w:hint="eastAsia" w:ascii="宋体" w:hAnsi="宋体" w:eastAsia="宋体" w:cs="宋体"/>
          <w:b/>
          <w:bCs/>
          <w:sz w:val="24"/>
          <w:szCs w:val="24"/>
        </w:rPr>
        <w:t>创作的核心技能</w:t>
      </w:r>
    </w:p>
    <w:p w14:paraId="50D5D8CE">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从文案生成、封面设计到数据分析，你将亲身体验如何用DeepSeek、剪映、Canva等AI工具，让你的内容更高效、更有创意。</w:t>
      </w:r>
    </w:p>
    <w:p w14:paraId="797D5A15">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rPr>
        <w:t>提前规划你的职业路径</w:t>
      </w:r>
    </w:p>
    <w:p w14:paraId="58F5D86E">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通过深度了解金程教育的课程体系（CFA、FRM、CPA、考研、实操技能等），你将更清晰地知道：财经领域有哪些发展方向？哪些证书值得考？如何用技能提升自己的竞争力？</w:t>
      </w:r>
    </w:p>
    <w:p w14:paraId="5254731B">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rPr>
        <w:t>深度参与品牌传播实战</w:t>
      </w:r>
    </w:p>
    <w:p w14:paraId="0CD0C647">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你的作品将真实帮助金程教育在小红书平台上建立专业形象，你将学会如何将品牌理念（如“专业来自101%的投入”）融入内容创作，积累宝贵的品牌营销经验。</w:t>
      </w:r>
    </w:p>
    <w:p w14:paraId="550E1FD1">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rPr>
        <w:t>收获真实的传播数据与用户反馈</w:t>
      </w:r>
    </w:p>
    <w:p w14:paraId="19E77031">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你的内容将真实发布在小红书平台上，接受真实用户的点赞、评论和私信咨询。你可以用数据复盘你的传播效果，积累宝贵的运营经验。</w:t>
      </w:r>
    </w:p>
    <w:p w14:paraId="30C714B0">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rPr>
        <w:t>有机会获得金程教育实习机会</w:t>
      </w:r>
      <w:r>
        <w:rPr>
          <w:rFonts w:hint="eastAsia" w:ascii="宋体" w:hAnsi="宋体" w:eastAsia="宋体" w:cs="宋体"/>
          <w:b/>
          <w:bCs/>
          <w:sz w:val="24"/>
          <w:szCs w:val="24"/>
        </w:rPr>
        <w:t>/</w:t>
      </w:r>
      <w:r>
        <w:rPr>
          <w:rFonts w:hint="eastAsia" w:ascii="宋体" w:hAnsi="宋体" w:eastAsia="宋体" w:cs="宋体"/>
          <w:b/>
          <w:bCs/>
          <w:sz w:val="24"/>
          <w:szCs w:val="24"/>
        </w:rPr>
        <w:t>证书</w:t>
      </w:r>
      <w:r>
        <w:rPr>
          <w:rFonts w:hint="eastAsia" w:ascii="宋体" w:hAnsi="宋体" w:eastAsia="宋体" w:cs="宋体"/>
          <w:b/>
          <w:bCs/>
          <w:sz w:val="24"/>
          <w:szCs w:val="24"/>
        </w:rPr>
        <w:t>/</w:t>
      </w:r>
      <w:r>
        <w:rPr>
          <w:rFonts w:hint="eastAsia" w:ascii="宋体" w:hAnsi="宋体" w:eastAsia="宋体" w:cs="宋体"/>
          <w:b/>
          <w:bCs/>
          <w:sz w:val="24"/>
          <w:szCs w:val="24"/>
        </w:rPr>
        <w:t>奖品</w:t>
      </w:r>
    </w:p>
    <w:p w14:paraId="60717947">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优秀团队将获得金程教育提供的实习面试直通卡、职业规划辅导、精美周边及官方荣誉证书。</w:t>
      </w:r>
    </w:p>
    <w:p w14:paraId="274151AC">
      <w:pPr>
        <w:keepNext w:val="0"/>
        <w:keepLines w:val="0"/>
        <w:pageBreakBefore w:val="0"/>
        <w:kinsoku/>
        <w:wordWrap/>
        <w:overflowPunct/>
        <w:topLinePunct w:val="0"/>
        <w:autoSpaceDE/>
        <w:autoSpaceDN/>
        <w:bidi w:val="0"/>
        <w:adjustRightInd/>
        <w:snapToGrid/>
        <w:spacing w:after="0" w:line="500" w:lineRule="exact"/>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br w:type="page"/>
      </w:r>
    </w:p>
    <w:p w14:paraId="605CA820">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任务要求</w:t>
      </w:r>
    </w:p>
    <w:p w14:paraId="667025BA">
      <w:pPr>
        <w:pStyle w:val="4"/>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内容策划与执行</w:t>
      </w:r>
    </w:p>
    <w:p w14:paraId="6D4F7341">
      <w:pPr>
        <w:pStyle w:val="3"/>
        <w:keepNext w:val="0"/>
        <w:keepLines w:val="0"/>
        <w:pageBreakBefore w:val="0"/>
        <w:numPr>
          <w:ilvl w:val="0"/>
          <w:numId w:val="2"/>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围绕金程教育的核心课程（如CFA、FRM、CPA、ACCA、RFP、考研、实操技能等）策划2-3条小红书内容；</w:t>
      </w:r>
    </w:p>
    <w:p w14:paraId="17C59A21">
      <w:pPr>
        <w:pStyle w:val="3"/>
        <w:keepNext w:val="0"/>
        <w:keepLines w:val="0"/>
        <w:pageBreakBefore w:val="0"/>
        <w:numPr>
          <w:ilvl w:val="0"/>
          <w:numId w:val="2"/>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内容形式不限（图文、视频、Vlog、AI生成内容等），需符合小红书平台调性；</w:t>
      </w:r>
    </w:p>
    <w:p w14:paraId="05B7758C">
      <w:pPr>
        <w:pStyle w:val="3"/>
        <w:keepNext w:val="0"/>
        <w:keepLines w:val="0"/>
        <w:pageBreakBefore w:val="0"/>
        <w:numPr>
          <w:ilvl w:val="0"/>
          <w:numId w:val="2"/>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内容需结合当下大学生关注的职业发展话题，并自然融入金程品牌元素（如课程内容、师资形象、品牌理念、学习资料等）；</w:t>
      </w:r>
    </w:p>
    <w:p w14:paraId="2A70636F">
      <w:pPr>
        <w:pStyle w:val="3"/>
        <w:keepNext w:val="0"/>
        <w:keepLines w:val="0"/>
        <w:pageBreakBefore w:val="0"/>
        <w:numPr>
          <w:ilvl w:val="0"/>
          <w:numId w:val="2"/>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鼓励使用金程官方提供的宣传素材（如Logo、程宝形象等）。</w:t>
      </w:r>
    </w:p>
    <w:p w14:paraId="7BE7F68D">
      <w:pPr>
        <w:pStyle w:val="4"/>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AI工具应用</w:t>
      </w:r>
    </w:p>
    <w:p w14:paraId="4BCA289B">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鼓励使用AI工具辅助创作，例如：</w:t>
      </w:r>
    </w:p>
    <w:p w14:paraId="6AA3B845">
      <w:pPr>
        <w:pStyle w:val="3"/>
        <w:keepNext w:val="0"/>
        <w:keepLines w:val="0"/>
        <w:pageBreakBefore w:val="0"/>
        <w:numPr>
          <w:ilvl w:val="0"/>
          <w:numId w:val="3"/>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文案生成：DeepSeek、ChatGPT、文心一言、豆包、元宝等</w:t>
      </w:r>
    </w:p>
    <w:p w14:paraId="46CEAA8E">
      <w:pPr>
        <w:pStyle w:val="3"/>
        <w:keepNext w:val="0"/>
        <w:keepLines w:val="0"/>
        <w:pageBreakBefore w:val="0"/>
        <w:numPr>
          <w:ilvl w:val="0"/>
          <w:numId w:val="3"/>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封面设计：</w:t>
      </w:r>
      <w:r>
        <w:rPr>
          <w:rFonts w:hint="eastAsia" w:ascii="宋体" w:hAnsi="宋体" w:eastAsia="宋体" w:cs="宋体"/>
          <w:sz w:val="24"/>
          <w:szCs w:val="24"/>
        </w:rPr>
        <w:t>Canva AI</w:t>
      </w:r>
      <w:r>
        <w:rPr>
          <w:rFonts w:hint="eastAsia" w:ascii="宋体" w:hAnsi="宋体" w:eastAsia="宋体" w:cs="宋体"/>
          <w:sz w:val="24"/>
          <w:szCs w:val="24"/>
        </w:rPr>
        <w:t>、MidJourney、即梦</w:t>
      </w:r>
      <w:bookmarkStart w:id="2" w:name="OLE_LINK2"/>
      <w:r>
        <w:rPr>
          <w:rFonts w:hint="eastAsia" w:ascii="宋体" w:hAnsi="宋体" w:eastAsia="宋体" w:cs="宋体"/>
          <w:sz w:val="24"/>
          <w:szCs w:val="24"/>
        </w:rPr>
        <w:t>等</w:t>
      </w:r>
      <w:bookmarkEnd w:id="2"/>
    </w:p>
    <w:p w14:paraId="0876A68D">
      <w:pPr>
        <w:pStyle w:val="3"/>
        <w:keepNext w:val="0"/>
        <w:keepLines w:val="0"/>
        <w:pageBreakBefore w:val="0"/>
        <w:numPr>
          <w:ilvl w:val="0"/>
          <w:numId w:val="3"/>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视频剪辑：剪映、度加剪辑等</w:t>
      </w:r>
    </w:p>
    <w:p w14:paraId="12D6D342">
      <w:pPr>
        <w:pStyle w:val="3"/>
        <w:keepNext w:val="0"/>
        <w:keepLines w:val="0"/>
        <w:pageBreakBefore w:val="0"/>
        <w:numPr>
          <w:ilvl w:val="0"/>
          <w:numId w:val="3"/>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数据分析：小红书后台+AI插件（如灰豚数据、新红、新榜等）</w:t>
      </w:r>
    </w:p>
    <w:p w14:paraId="12E1F364">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在报告中需详细说明AI工具的使用场景及效果，并附上提示词示例。</w:t>
      </w:r>
    </w:p>
    <w:p w14:paraId="18082E4D">
      <w:pPr>
        <w:pStyle w:val="4"/>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传播与转化路径设计</w:t>
      </w:r>
    </w:p>
    <w:p w14:paraId="018EDEDF">
      <w:pPr>
        <w:pStyle w:val="3"/>
        <w:keepNext w:val="0"/>
        <w:keepLines w:val="0"/>
        <w:pageBreakBefore w:val="0"/>
        <w:numPr>
          <w:ilvl w:val="0"/>
          <w:numId w:val="4"/>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设计从内容曝光→用户互动→私信咨询→表单留资的转化路径；</w:t>
      </w:r>
    </w:p>
    <w:p w14:paraId="2ABCA62F">
      <w:pPr>
        <w:pStyle w:val="3"/>
        <w:keepNext w:val="0"/>
        <w:keepLines w:val="0"/>
        <w:pageBreakBefore w:val="0"/>
        <w:numPr>
          <w:ilvl w:val="0"/>
          <w:numId w:val="4"/>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建议设置引导语如：“想了解适合你的证书路径？私信我免费领金程学习资料”；</w:t>
      </w:r>
    </w:p>
    <w:p w14:paraId="468D3240">
      <w:pPr>
        <w:pStyle w:val="3"/>
        <w:keepNext w:val="0"/>
        <w:keepLines w:val="0"/>
        <w:pageBreakBefore w:val="0"/>
        <w:numPr>
          <w:ilvl w:val="0"/>
          <w:numId w:val="4"/>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可尝试引导用户关注金程官方小红书账号或领取金程课程资料。</w:t>
      </w:r>
    </w:p>
    <w:p w14:paraId="05EE7E81">
      <w:pPr>
        <w:keepNext w:val="0"/>
        <w:keepLines w:val="0"/>
        <w:pageBreakBefore w:val="0"/>
        <w:kinsoku/>
        <w:wordWrap/>
        <w:overflowPunct/>
        <w:topLinePunct w:val="0"/>
        <w:autoSpaceDE/>
        <w:autoSpaceDN/>
        <w:bidi w:val="0"/>
        <w:adjustRightInd/>
        <w:snapToGrid/>
        <w:spacing w:after="0" w:line="500" w:lineRule="exact"/>
        <w:ind w:firstLine="0" w:firstLineChars="0"/>
        <w:textAlignment w:val="auto"/>
        <w:rPr>
          <w:rFonts w:hint="eastAsia" w:ascii="宋体" w:hAnsi="宋体" w:eastAsia="宋体" w:cs="宋体"/>
          <w:b/>
          <w:bCs/>
          <w:sz w:val="24"/>
          <w:szCs w:val="24"/>
        </w:rPr>
      </w:pPr>
      <w:r>
        <w:rPr>
          <w:rFonts w:hint="eastAsia" w:ascii="宋体" w:hAnsi="宋体" w:eastAsia="宋体" w:cs="宋体"/>
          <w:sz w:val="24"/>
          <w:szCs w:val="24"/>
        </w:rPr>
        <w:br w:type="page"/>
      </w:r>
    </w:p>
    <w:p w14:paraId="38B2284B">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内容策划参考案例（需含金程元素）</w:t>
      </w:r>
    </w:p>
    <w:p w14:paraId="36E283CF">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以下案例供你激发灵感，你可以自由发挥，但建议在内容中巧妙融入金程品牌。</w:t>
      </w:r>
    </w:p>
    <w:p w14:paraId="510E9B82">
      <w:pPr>
        <w:pStyle w:val="3"/>
        <w:keepNext w:val="0"/>
        <w:keepLines w:val="0"/>
        <w:pageBreakBefore w:val="0"/>
        <w:numPr>
          <w:ilvl w:val="0"/>
          <w:numId w:val="5"/>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“大学四年，我是如何从迷茫到拿下CFA一级的”</w:t>
      </w:r>
    </w:p>
    <w:p w14:paraId="5666B9EC">
      <w:pPr>
        <w:pStyle w:val="3"/>
        <w:keepNext w:val="0"/>
        <w:keepLines w:val="0"/>
        <w:pageBreakBefore w:val="0"/>
        <w:numPr>
          <w:ilvl w:val="0"/>
          <w:numId w:val="5"/>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“CPA和ACCA，到底哪个更适合你？”</w:t>
      </w:r>
    </w:p>
    <w:p w14:paraId="5A73960D">
      <w:pPr>
        <w:pStyle w:val="3"/>
        <w:keepNext w:val="0"/>
        <w:keepLines w:val="0"/>
        <w:pageBreakBefore w:val="0"/>
        <w:numPr>
          <w:ilvl w:val="0"/>
          <w:numId w:val="5"/>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“大二开始准备FRM，我后悔了吗？”</w:t>
      </w:r>
    </w:p>
    <w:p w14:paraId="58B6AD71">
      <w:pPr>
        <w:pStyle w:val="3"/>
        <w:keepNext w:val="0"/>
        <w:keepLines w:val="0"/>
        <w:pageBreakBefore w:val="0"/>
        <w:numPr>
          <w:ilvl w:val="0"/>
          <w:numId w:val="5"/>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“金融人必备的5个AI工具，效率翻倍”</w:t>
      </w:r>
    </w:p>
    <w:p w14:paraId="6A0E3BE0">
      <w:pPr>
        <w:pStyle w:val="3"/>
        <w:keepNext w:val="0"/>
        <w:keepLines w:val="0"/>
        <w:pageBreakBefore w:val="0"/>
        <w:numPr>
          <w:ilvl w:val="0"/>
          <w:numId w:val="5"/>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“我采访了5个券商HR，他们最看重这些能力”</w:t>
      </w:r>
    </w:p>
    <w:p w14:paraId="6538C8C6">
      <w:pPr>
        <w:pStyle w:val="3"/>
        <w:keepNext w:val="0"/>
        <w:keepLines w:val="0"/>
        <w:pageBreakBefore w:val="0"/>
        <w:numPr>
          <w:ilvl w:val="0"/>
          <w:numId w:val="5"/>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“如果大学重来，我会这样规划我的四年”</w:t>
      </w:r>
    </w:p>
    <w:p w14:paraId="550E1512">
      <w:pPr>
        <w:pStyle w:val="3"/>
        <w:keepNext w:val="0"/>
        <w:keepLines w:val="0"/>
        <w:pageBreakBefore w:val="0"/>
        <w:numPr>
          <w:ilvl w:val="0"/>
          <w:numId w:val="5"/>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“考证搭子招募计划”</w:t>
      </w:r>
    </w:p>
    <w:p w14:paraId="4B073D71">
      <w:pPr>
        <w:pStyle w:val="3"/>
        <w:keepNext w:val="0"/>
        <w:keepLines w:val="0"/>
        <w:pageBreakBefore w:val="0"/>
        <w:numPr>
          <w:ilvl w:val="0"/>
          <w:numId w:val="5"/>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“我的书桌2.0：金融备考党桌面好物分享”</w:t>
      </w:r>
    </w:p>
    <w:p w14:paraId="0284F508">
      <w:pPr>
        <w:pStyle w:val="3"/>
        <w:keepNext w:val="0"/>
        <w:keepLines w:val="0"/>
        <w:pageBreakBefore w:val="0"/>
        <w:numPr>
          <w:ilvl w:val="0"/>
          <w:numId w:val="5"/>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“我用DeepSeek一周学完CFA财报，太离谱了！”</w:t>
      </w:r>
    </w:p>
    <w:p w14:paraId="1921C61F">
      <w:pPr>
        <w:pStyle w:val="3"/>
        <w:keepNext w:val="0"/>
        <w:keepLines w:val="0"/>
        <w:pageBreakBefore w:val="0"/>
        <w:numPr>
          <w:ilvl w:val="0"/>
          <w:numId w:val="5"/>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w:t>
      </w:r>
    </w:p>
    <w:p w14:paraId="7250C700">
      <w:pPr>
        <w:keepNext w:val="0"/>
        <w:keepLines w:val="0"/>
        <w:pageBreakBefore w:val="0"/>
        <w:kinsoku/>
        <w:wordWrap/>
        <w:overflowPunct/>
        <w:topLinePunct w:val="0"/>
        <w:autoSpaceDE/>
        <w:autoSpaceDN/>
        <w:bidi w:val="0"/>
        <w:adjustRightInd/>
        <w:snapToGrid/>
        <w:spacing w:after="0" w:line="500" w:lineRule="exact"/>
        <w:ind w:firstLine="0" w:firstLineChars="0"/>
        <w:textAlignment w:val="auto"/>
        <w:rPr>
          <w:rFonts w:hint="eastAsia" w:ascii="宋体" w:hAnsi="宋体" w:eastAsia="宋体" w:cs="宋体"/>
          <w:b/>
          <w:bCs/>
          <w:sz w:val="24"/>
          <w:szCs w:val="24"/>
        </w:rPr>
      </w:pPr>
      <w:r>
        <w:rPr>
          <w:rFonts w:hint="eastAsia" w:ascii="宋体" w:hAnsi="宋体" w:eastAsia="宋体" w:cs="宋体"/>
          <w:sz w:val="24"/>
          <w:szCs w:val="24"/>
        </w:rPr>
        <w:br w:type="page"/>
      </w:r>
    </w:p>
    <w:p w14:paraId="3B93D802">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提交材料详细说明</w:t>
      </w:r>
    </w:p>
    <w:p w14:paraId="1A242030">
      <w:pPr>
        <w:pStyle w:val="4"/>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项目综合报告（Word形式）</w:t>
      </w:r>
    </w:p>
    <w:p w14:paraId="537214DB">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sz w:val="24"/>
          <w:szCs w:val="24"/>
        </w:rPr>
      </w:pPr>
      <w:r>
        <w:rPr>
          <w:rFonts w:hint="eastAsia" w:ascii="宋体" w:hAnsi="宋体" w:eastAsia="宋体" w:cs="宋体"/>
          <w:b/>
          <w:bCs/>
          <w:sz w:val="24"/>
          <w:szCs w:val="24"/>
        </w:rPr>
        <w:t>说明：</w:t>
      </w:r>
      <w:r>
        <w:rPr>
          <w:rFonts w:hint="eastAsia" w:ascii="宋体" w:hAnsi="宋体" w:eastAsia="宋体" w:cs="宋体"/>
          <w:sz w:val="24"/>
          <w:szCs w:val="24"/>
        </w:rPr>
        <w:t>报告需逻辑清晰、内容完整，字数建议3000-5000字（不含附录）。可适当插入图表、截图等辅助说明。</w:t>
      </w:r>
    </w:p>
    <w:p w14:paraId="42B783B8">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封面页</w:t>
      </w:r>
    </w:p>
    <w:p w14:paraId="154502B6">
      <w:pPr>
        <w:pStyle w:val="3"/>
        <w:keepNext w:val="0"/>
        <w:keepLines w:val="0"/>
        <w:pageBreakBefore w:val="0"/>
        <w:numPr>
          <w:ilvl w:val="0"/>
          <w:numId w:val="6"/>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命题名称：“智创未来”——基于AI赋能的小红书平台财经教育内容运营与职业成长实战方案</w:t>
      </w:r>
    </w:p>
    <w:p w14:paraId="0DBA43B3">
      <w:pPr>
        <w:pStyle w:val="3"/>
        <w:keepNext w:val="0"/>
        <w:keepLines w:val="0"/>
        <w:pageBreakBefore w:val="0"/>
        <w:numPr>
          <w:ilvl w:val="0"/>
          <w:numId w:val="6"/>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团队名称/成员姓名/学校/指导老师（如有）</w:t>
      </w:r>
    </w:p>
    <w:p w14:paraId="248B7362">
      <w:pPr>
        <w:pStyle w:val="3"/>
        <w:keepNext w:val="0"/>
        <w:keepLines w:val="0"/>
        <w:pageBreakBefore w:val="0"/>
        <w:numPr>
          <w:ilvl w:val="0"/>
          <w:numId w:val="6"/>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提交日期</w:t>
      </w:r>
    </w:p>
    <w:p w14:paraId="706BD253">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目录</w:t>
      </w:r>
    </w:p>
    <w:p w14:paraId="049045E0">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第一部分：方案概述</w:t>
      </w:r>
    </w:p>
    <w:p w14:paraId="033334C7">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建议包含但不限于：命题理解、团队选题思路、核心目标等</w:t>
      </w:r>
    </w:p>
    <w:p w14:paraId="62883A61">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第二部分：市场与用户分析</w:t>
      </w:r>
    </w:p>
    <w:p w14:paraId="188A912C">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sz w:val="24"/>
          <w:szCs w:val="24"/>
        </w:rPr>
        <w:t>建议包含但不限于：小红书教育赛道现状、目标用户画像（结合金程课程与大学生群体）、竞品/同类账号参考分析</w:t>
      </w:r>
    </w:p>
    <w:p w14:paraId="444CBDFD">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第三部分：内容策划与执行</w:t>
      </w:r>
    </w:p>
    <w:p w14:paraId="7F83B75B">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建议包含但不限于：</w:t>
      </w:r>
    </w:p>
    <w:p w14:paraId="62881ABB">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内容主题与选题逻辑（附选题清单）</w:t>
      </w:r>
    </w:p>
    <w:p w14:paraId="1A765333">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内容形式与创意亮点（图文/视频/AI辅助）</w:t>
      </w:r>
    </w:p>
    <w:p w14:paraId="48628825">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highlight w:val="none"/>
        </w:rPr>
        <w:t>金程品牌元素融入方式</w:t>
      </w:r>
      <w:r>
        <w:rPr>
          <w:rFonts w:hint="eastAsia" w:ascii="宋体" w:hAnsi="宋体" w:eastAsia="宋体" w:cs="宋体"/>
          <w:sz w:val="24"/>
          <w:szCs w:val="24"/>
        </w:rPr>
        <w:t>（详细说明如何在内容中体现金程课程、理念、师资、服务等）</w:t>
      </w:r>
    </w:p>
    <w:p w14:paraId="0B96C51E">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sz w:val="24"/>
          <w:szCs w:val="24"/>
        </w:rPr>
        <w:t>发布计划（发布时间、频率、话题标签策略）</w:t>
      </w:r>
    </w:p>
    <w:p w14:paraId="6E0B3582">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第四部分：AI工具应用说明</w:t>
      </w:r>
    </w:p>
    <w:p w14:paraId="7DCAE13E">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sz w:val="24"/>
          <w:szCs w:val="24"/>
        </w:rPr>
        <w:t>建议包含但不限于：使用的AI工具清单、AI在内容创作中的具体应用场景（附截图/提示词示例）、AI对效率/创意的提升效果分析</w:t>
      </w:r>
    </w:p>
    <w:p w14:paraId="3E54D9B0">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第五部分：传播与转化路径</w:t>
      </w:r>
    </w:p>
    <w:p w14:paraId="722DE0ED">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sz w:val="24"/>
          <w:szCs w:val="24"/>
        </w:rPr>
        <w:t>建议包含但不限于：内容发布与传播策略、用户互动与私信引导方式、转化路径设计（如何引导咨询/留资，如何引导关注金程官方账号）</w:t>
      </w:r>
    </w:p>
    <w:p w14:paraId="18F27ADC">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第六部分：数据复盘与效果分析</w:t>
      </w:r>
    </w:p>
    <w:p w14:paraId="5331CD9F">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rPr>
      </w:pPr>
      <w:r>
        <w:rPr>
          <w:rFonts w:hint="eastAsia" w:ascii="宋体" w:hAnsi="宋体" w:eastAsia="宋体" w:cs="宋体"/>
          <w:sz w:val="24"/>
          <w:szCs w:val="24"/>
        </w:rPr>
        <w:t>建议包含但不限于：小红书后台数据截图（曝光、阅读、点赞、评论、收藏）、核心数据指标分析、</w:t>
      </w:r>
      <w:r>
        <w:rPr>
          <w:rFonts w:hint="eastAsia" w:ascii="宋体" w:hAnsi="宋体" w:eastAsia="宋体" w:cs="宋体"/>
          <w:sz w:val="24"/>
          <w:szCs w:val="24"/>
          <w:highlight w:val="none"/>
        </w:rPr>
        <w:t>品牌传播效果评估</w:t>
      </w:r>
      <w:r>
        <w:rPr>
          <w:rFonts w:hint="eastAsia" w:ascii="宋体" w:hAnsi="宋体" w:eastAsia="宋体" w:cs="宋体"/>
          <w:sz w:val="24"/>
          <w:szCs w:val="24"/>
        </w:rPr>
        <w:t>（如品牌提及量、用户对金程的认知反馈等）</w:t>
      </w:r>
    </w:p>
    <w:p w14:paraId="2CCF13EA">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第七部分：团队总结与反思</w:t>
      </w:r>
    </w:p>
    <w:p w14:paraId="08290AAA">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建议包含但不限于：执行过程中遇到的挑战与解决方案、AI工具使用心得、对未来优化方向的建议</w:t>
      </w:r>
    </w:p>
    <w:p w14:paraId="7BF8FA0E">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附录</w:t>
      </w:r>
    </w:p>
    <w:p w14:paraId="01FA2A8D">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内容可根据实际情况自由设置，建议包含：小红书作品链接/截图、AI提示词示例、团队分工说明、参考资料/工具清单、金程元素使用清单（如使用了哪些金程素材、如何获取等）</w:t>
      </w:r>
    </w:p>
    <w:p w14:paraId="3A58994F">
      <w:pPr>
        <w:keepNext w:val="0"/>
        <w:keepLines w:val="0"/>
        <w:pageBreakBefore w:val="0"/>
        <w:kinsoku/>
        <w:wordWrap/>
        <w:overflowPunct/>
        <w:topLinePunct w:val="0"/>
        <w:autoSpaceDE/>
        <w:autoSpaceDN/>
        <w:bidi w:val="0"/>
        <w:adjustRightInd/>
        <w:snapToGrid/>
        <w:spacing w:after="0" w:line="500" w:lineRule="exact"/>
        <w:ind w:firstLine="0" w:firstLineChars="0"/>
        <w:textAlignment w:val="auto"/>
        <w:rPr>
          <w:rFonts w:hint="eastAsia" w:ascii="宋体" w:hAnsi="宋体" w:eastAsia="宋体" w:cs="宋体"/>
          <w:b/>
          <w:bCs/>
          <w:sz w:val="24"/>
          <w:szCs w:val="24"/>
        </w:rPr>
      </w:pPr>
      <w:r>
        <w:rPr>
          <w:rFonts w:hint="eastAsia" w:ascii="宋体" w:hAnsi="宋体" w:eastAsia="宋体" w:cs="宋体"/>
          <w:sz w:val="24"/>
          <w:szCs w:val="24"/>
        </w:rPr>
        <w:br w:type="page"/>
      </w:r>
    </w:p>
    <w:p w14:paraId="75135449">
      <w:pPr>
        <w:pStyle w:val="4"/>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小红书作品展示（素材要求详细说明）</w:t>
      </w:r>
    </w:p>
    <w:p w14:paraId="2466D74A">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参赛团队需提交2-5条已在小红书平台真实发布的内容，作为方案执行成果的证明。具体要求如下：</w:t>
      </w:r>
    </w:p>
    <w:p w14:paraId="5DFC3682">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1.内容数量与形式</w:t>
      </w:r>
    </w:p>
    <w:p w14:paraId="2FC41250">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数量要求：2-5条（至少2条，不超过5条）</w:t>
      </w:r>
    </w:p>
    <w:p w14:paraId="50836EA1">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形式要求：可以是图文笔记、短视频、Vlog、知识卡片等形式，鼓励多样化尝试</w:t>
      </w:r>
    </w:p>
    <w:p w14:paraId="44B86773">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发布时间：须在比赛周期内发布，发布后不可删除或隐藏（评审期间需可公开访问）</w:t>
      </w:r>
    </w:p>
    <w:p w14:paraId="5C159550">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2.内容主题要求</w:t>
      </w:r>
    </w:p>
    <w:p w14:paraId="22C6A87B">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rPr>
        <w:t>必须围绕金程教育的课程体系或职业发展相关主题，内容中需</w:t>
      </w:r>
      <w:r>
        <w:rPr>
          <w:rFonts w:hint="eastAsia" w:ascii="宋体" w:hAnsi="宋体" w:eastAsia="宋体" w:cs="宋体"/>
          <w:sz w:val="24"/>
          <w:szCs w:val="24"/>
          <w:highlight w:val="none"/>
        </w:rPr>
        <w:t>自然融入金程教育相关元素。发布的内容带话题标签：#金程教育</w:t>
      </w:r>
    </w:p>
    <w:p w14:paraId="66FAF36A">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3.提交材料要求</w:t>
      </w:r>
    </w:p>
    <w:p w14:paraId="1AA2D1AD">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作品汇总表（Excel格式）：作品序号、作品标题、发布时间、作品链接、核心数据（曝光、点赞、评论、收藏、涨粉数）、AI工具使用说明、</w:t>
      </w:r>
      <w:r>
        <w:rPr>
          <w:rFonts w:hint="eastAsia" w:ascii="宋体" w:hAnsi="宋体" w:eastAsia="宋体" w:cs="宋体"/>
          <w:sz w:val="24"/>
          <w:szCs w:val="24"/>
          <w:highlight w:val="none"/>
        </w:rPr>
        <w:t>金程元素体现说明（</w:t>
      </w:r>
      <w:r>
        <w:rPr>
          <w:rFonts w:hint="eastAsia" w:ascii="宋体" w:hAnsi="宋体" w:eastAsia="宋体" w:cs="宋体"/>
          <w:sz w:val="24"/>
          <w:szCs w:val="24"/>
        </w:rPr>
        <w:t>简要描述如何融入金程品牌）</w:t>
      </w:r>
    </w:p>
    <w:p w14:paraId="5AB15CD1">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作品截图：每条作品需提供3-5张关键截图，包括：封面页截图、内容正文截图（图文需完整，视频需关键帧截图）、评论区互动截图（如有）、后台数据截图</w:t>
      </w:r>
    </w:p>
    <w:p w14:paraId="5562CDBE">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bCs/>
          <w:sz w:val="24"/>
          <w:szCs w:val="24"/>
        </w:rPr>
      </w:pPr>
      <w:r>
        <w:rPr>
          <w:rFonts w:hint="eastAsia" w:ascii="宋体" w:hAnsi="宋体" w:eastAsia="宋体" w:cs="宋体"/>
          <w:b/>
          <w:bCs/>
          <w:sz w:val="24"/>
          <w:szCs w:val="24"/>
        </w:rPr>
        <w:t>5.数据真实性要求</w:t>
      </w:r>
    </w:p>
    <w:p w14:paraId="4A7BCA4A">
      <w:pPr>
        <w:pStyle w:val="3"/>
        <w:keepNext w:val="0"/>
        <w:keepLines w:val="0"/>
        <w:pageBreakBefore w:val="0"/>
        <w:numPr>
          <w:ilvl w:val="0"/>
          <w:numId w:val="7"/>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所有提交的数据必须真实可查</w:t>
      </w:r>
    </w:p>
    <w:p w14:paraId="15A616B1">
      <w:pPr>
        <w:pStyle w:val="3"/>
        <w:keepNext w:val="0"/>
        <w:keepLines w:val="0"/>
        <w:pageBreakBefore w:val="0"/>
        <w:numPr>
          <w:ilvl w:val="0"/>
          <w:numId w:val="7"/>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评审期间，评委有权通过链接查看作品及互动情况</w:t>
      </w:r>
    </w:p>
    <w:p w14:paraId="57F0B271">
      <w:pPr>
        <w:pStyle w:val="3"/>
        <w:keepNext w:val="0"/>
        <w:keepLines w:val="0"/>
        <w:pageBreakBefore w:val="0"/>
        <w:numPr>
          <w:ilvl w:val="0"/>
          <w:numId w:val="7"/>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sz w:val="24"/>
          <w:szCs w:val="24"/>
        </w:rPr>
        <w:t>严禁刷数据、虚假互动等行为，一经发现取消参赛资格</w:t>
      </w:r>
    </w:p>
    <w:p w14:paraId="69D99BFF">
      <w:pPr>
        <w:keepNext w:val="0"/>
        <w:keepLines w:val="0"/>
        <w:pageBreakBefore w:val="0"/>
        <w:kinsoku/>
        <w:wordWrap/>
        <w:overflowPunct/>
        <w:topLinePunct w:val="0"/>
        <w:autoSpaceDE/>
        <w:autoSpaceDN/>
        <w:bidi w:val="0"/>
        <w:adjustRightInd/>
        <w:snapToGrid/>
        <w:spacing w:after="0" w:line="500" w:lineRule="exact"/>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br w:type="page"/>
      </w:r>
    </w:p>
    <w:p w14:paraId="0F682A3C">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评分标准</w:t>
      </w:r>
    </w:p>
    <w:tbl>
      <w:tblPr>
        <w:tblStyle w:val="11"/>
        <w:tblW w:w="5000" w:type="pct"/>
        <w:tblInd w:w="0" w:type="dxa"/>
        <w:tblBorders>
          <w:top w:val="single" w:color="B5C7EA" w:themeColor="accent1" w:themeTint="66" w:sz="4" w:space="0"/>
          <w:left w:val="single" w:color="B5C7EA" w:themeColor="accent1" w:themeTint="66" w:sz="4" w:space="0"/>
          <w:bottom w:val="single" w:color="B5C7EA" w:themeColor="accent1" w:themeTint="66" w:sz="4" w:space="0"/>
          <w:right w:val="single" w:color="B5C7EA" w:themeColor="accent1" w:themeTint="66" w:sz="4" w:space="0"/>
          <w:insideH w:val="single" w:color="B5C7EA" w:themeColor="accent1" w:themeTint="66" w:sz="4" w:space="0"/>
          <w:insideV w:val="single" w:color="B5C7EA" w:themeColor="accent1" w:themeTint="66" w:sz="4" w:space="0"/>
        </w:tblBorders>
        <w:tblLayout w:type="autofit"/>
        <w:tblCellMar>
          <w:top w:w="0" w:type="dxa"/>
          <w:left w:w="108" w:type="dxa"/>
          <w:bottom w:w="0" w:type="dxa"/>
          <w:right w:w="108" w:type="dxa"/>
        </w:tblCellMar>
      </w:tblPr>
      <w:tblGrid>
        <w:gridCol w:w="1866"/>
        <w:gridCol w:w="804"/>
        <w:gridCol w:w="5852"/>
      </w:tblGrid>
      <w:tr w14:paraId="1717555B">
        <w:tblPrEx>
          <w:tblBorders>
            <w:top w:val="single" w:color="B5C7EA" w:themeColor="accent1" w:themeTint="66" w:sz="4" w:space="0"/>
            <w:left w:val="single" w:color="B5C7EA" w:themeColor="accent1" w:themeTint="66" w:sz="4" w:space="0"/>
            <w:bottom w:val="single" w:color="B5C7EA" w:themeColor="accent1" w:themeTint="66" w:sz="4" w:space="0"/>
            <w:right w:val="single" w:color="B5C7EA" w:themeColor="accent1" w:themeTint="66" w:sz="4" w:space="0"/>
            <w:insideH w:val="single" w:color="B5C7EA" w:themeColor="accent1" w:themeTint="66" w:sz="4" w:space="0"/>
            <w:insideV w:val="single" w:color="B5C7EA" w:themeColor="accent1" w:themeTint="66" w:sz="4" w:space="0"/>
          </w:tblBorders>
          <w:tblCellMar>
            <w:top w:w="0" w:type="dxa"/>
            <w:left w:w="108" w:type="dxa"/>
            <w:bottom w:w="0" w:type="dxa"/>
            <w:right w:w="108" w:type="dxa"/>
          </w:tblCellMar>
        </w:tblPrEx>
        <w:tc>
          <w:tcPr>
            <w:tcW w:w="1095" w:type="pct"/>
            <w:tcBorders>
              <w:bottom w:val="single" w:color="91ABDF" w:themeColor="accent1" w:themeTint="99" w:sz="12" w:space="0"/>
              <w:insideH w:val="single" w:sz="12" w:space="0"/>
            </w:tcBorders>
            <w:vAlign w:val="center"/>
          </w:tcPr>
          <w:p w14:paraId="2A29087B">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维度</w:t>
            </w:r>
          </w:p>
        </w:tc>
        <w:tc>
          <w:tcPr>
            <w:tcW w:w="472" w:type="pct"/>
            <w:tcBorders>
              <w:bottom w:val="single" w:color="91ABDF" w:themeColor="accent1" w:themeTint="99" w:sz="12" w:space="0"/>
              <w:insideH w:val="single" w:sz="12" w:space="0"/>
            </w:tcBorders>
            <w:vAlign w:val="center"/>
          </w:tcPr>
          <w:p w14:paraId="03371182">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占比</w:t>
            </w:r>
          </w:p>
        </w:tc>
        <w:tc>
          <w:tcPr>
            <w:tcW w:w="3433" w:type="pct"/>
            <w:tcBorders>
              <w:bottom w:val="single" w:color="91ABDF" w:themeColor="accent1" w:themeTint="99" w:sz="12" w:space="0"/>
              <w:insideH w:val="single" w:sz="12" w:space="0"/>
            </w:tcBorders>
            <w:vAlign w:val="center"/>
          </w:tcPr>
          <w:p w14:paraId="72A74BE4">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说明</w:t>
            </w:r>
          </w:p>
        </w:tc>
      </w:tr>
      <w:tr w14:paraId="3A3713A3">
        <w:tblPrEx>
          <w:tblBorders>
            <w:top w:val="single" w:color="B5C7EA" w:themeColor="accent1" w:themeTint="66" w:sz="4" w:space="0"/>
            <w:left w:val="single" w:color="B5C7EA" w:themeColor="accent1" w:themeTint="66" w:sz="4" w:space="0"/>
            <w:bottom w:val="single" w:color="B5C7EA" w:themeColor="accent1" w:themeTint="66" w:sz="4" w:space="0"/>
            <w:right w:val="single" w:color="B5C7EA" w:themeColor="accent1" w:themeTint="66" w:sz="4" w:space="0"/>
            <w:insideH w:val="single" w:color="B5C7EA" w:themeColor="accent1" w:themeTint="66" w:sz="4" w:space="0"/>
            <w:insideV w:val="single" w:color="B5C7EA" w:themeColor="accent1" w:themeTint="66" w:sz="4" w:space="0"/>
          </w:tblBorders>
          <w:tblCellMar>
            <w:top w:w="0" w:type="dxa"/>
            <w:left w:w="108" w:type="dxa"/>
            <w:bottom w:w="0" w:type="dxa"/>
            <w:right w:w="108" w:type="dxa"/>
          </w:tblCellMar>
        </w:tblPrEx>
        <w:tc>
          <w:tcPr>
            <w:tcW w:w="1095" w:type="pct"/>
            <w:vAlign w:val="center"/>
          </w:tcPr>
          <w:p w14:paraId="75324146">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创意性</w:t>
            </w:r>
          </w:p>
        </w:tc>
        <w:tc>
          <w:tcPr>
            <w:tcW w:w="472" w:type="pct"/>
            <w:vAlign w:val="center"/>
          </w:tcPr>
          <w:p w14:paraId="23FF03A2">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20%</w:t>
            </w:r>
          </w:p>
        </w:tc>
        <w:tc>
          <w:tcPr>
            <w:tcW w:w="3433" w:type="pct"/>
            <w:vAlign w:val="center"/>
          </w:tcPr>
          <w:p w14:paraId="093B123B">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内容形式、选题角度、传播策略是否新颖</w:t>
            </w:r>
          </w:p>
        </w:tc>
      </w:tr>
      <w:tr w14:paraId="49A7D2A6">
        <w:tblPrEx>
          <w:tblBorders>
            <w:top w:val="single" w:color="B5C7EA" w:themeColor="accent1" w:themeTint="66" w:sz="4" w:space="0"/>
            <w:left w:val="single" w:color="B5C7EA" w:themeColor="accent1" w:themeTint="66" w:sz="4" w:space="0"/>
            <w:bottom w:val="single" w:color="B5C7EA" w:themeColor="accent1" w:themeTint="66" w:sz="4" w:space="0"/>
            <w:right w:val="single" w:color="B5C7EA" w:themeColor="accent1" w:themeTint="66" w:sz="4" w:space="0"/>
            <w:insideH w:val="single" w:color="B5C7EA" w:themeColor="accent1" w:themeTint="66" w:sz="4" w:space="0"/>
            <w:insideV w:val="single" w:color="B5C7EA" w:themeColor="accent1" w:themeTint="66" w:sz="4" w:space="0"/>
          </w:tblBorders>
          <w:tblCellMar>
            <w:top w:w="0" w:type="dxa"/>
            <w:left w:w="108" w:type="dxa"/>
            <w:bottom w:w="0" w:type="dxa"/>
            <w:right w:w="108" w:type="dxa"/>
          </w:tblCellMar>
        </w:tblPrEx>
        <w:tc>
          <w:tcPr>
            <w:tcW w:w="1095" w:type="pct"/>
            <w:vAlign w:val="center"/>
          </w:tcPr>
          <w:p w14:paraId="6DF92283">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可执行性</w:t>
            </w:r>
          </w:p>
        </w:tc>
        <w:tc>
          <w:tcPr>
            <w:tcW w:w="472" w:type="pct"/>
            <w:vAlign w:val="center"/>
          </w:tcPr>
          <w:p w14:paraId="09ADF4AD">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c>
          <w:tcPr>
            <w:tcW w:w="3433" w:type="pct"/>
            <w:vAlign w:val="center"/>
          </w:tcPr>
          <w:p w14:paraId="719058B4">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方案是否落地、是否结合金程课程资源</w:t>
            </w:r>
          </w:p>
        </w:tc>
      </w:tr>
      <w:tr w14:paraId="68C1E0E0">
        <w:tblPrEx>
          <w:tblBorders>
            <w:top w:val="single" w:color="B5C7EA" w:themeColor="accent1" w:themeTint="66" w:sz="4" w:space="0"/>
            <w:left w:val="single" w:color="B5C7EA" w:themeColor="accent1" w:themeTint="66" w:sz="4" w:space="0"/>
            <w:bottom w:val="single" w:color="B5C7EA" w:themeColor="accent1" w:themeTint="66" w:sz="4" w:space="0"/>
            <w:right w:val="single" w:color="B5C7EA" w:themeColor="accent1" w:themeTint="66" w:sz="4" w:space="0"/>
            <w:insideH w:val="single" w:color="B5C7EA" w:themeColor="accent1" w:themeTint="66" w:sz="4" w:space="0"/>
            <w:insideV w:val="single" w:color="B5C7EA" w:themeColor="accent1" w:themeTint="66" w:sz="4" w:space="0"/>
          </w:tblBorders>
          <w:tblCellMar>
            <w:top w:w="0" w:type="dxa"/>
            <w:left w:w="108" w:type="dxa"/>
            <w:bottom w:w="0" w:type="dxa"/>
            <w:right w:w="108" w:type="dxa"/>
          </w:tblCellMar>
        </w:tblPrEx>
        <w:tc>
          <w:tcPr>
            <w:tcW w:w="1095" w:type="pct"/>
            <w:vAlign w:val="center"/>
          </w:tcPr>
          <w:p w14:paraId="4648FB74">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金程品牌植入</w:t>
            </w:r>
          </w:p>
        </w:tc>
        <w:tc>
          <w:tcPr>
            <w:tcW w:w="472" w:type="pct"/>
            <w:vAlign w:val="center"/>
          </w:tcPr>
          <w:p w14:paraId="78E3601D">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20%</w:t>
            </w:r>
          </w:p>
        </w:tc>
        <w:tc>
          <w:tcPr>
            <w:tcW w:w="3433" w:type="pct"/>
            <w:vAlign w:val="center"/>
          </w:tcPr>
          <w:p w14:paraId="45EB239C">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是否巧妙、自然地融入金程元素，传播效果如何</w:t>
            </w:r>
          </w:p>
        </w:tc>
      </w:tr>
      <w:tr w14:paraId="293E4B9A">
        <w:tblPrEx>
          <w:tblBorders>
            <w:top w:val="single" w:color="B5C7EA" w:themeColor="accent1" w:themeTint="66" w:sz="4" w:space="0"/>
            <w:left w:val="single" w:color="B5C7EA" w:themeColor="accent1" w:themeTint="66" w:sz="4" w:space="0"/>
            <w:bottom w:val="single" w:color="B5C7EA" w:themeColor="accent1" w:themeTint="66" w:sz="4" w:space="0"/>
            <w:right w:val="single" w:color="B5C7EA" w:themeColor="accent1" w:themeTint="66" w:sz="4" w:space="0"/>
            <w:insideH w:val="single" w:color="B5C7EA" w:themeColor="accent1" w:themeTint="66" w:sz="4" w:space="0"/>
            <w:insideV w:val="single" w:color="B5C7EA" w:themeColor="accent1" w:themeTint="66" w:sz="4" w:space="0"/>
          </w:tblBorders>
          <w:tblCellMar>
            <w:top w:w="0" w:type="dxa"/>
            <w:left w:w="108" w:type="dxa"/>
            <w:bottom w:w="0" w:type="dxa"/>
            <w:right w:w="108" w:type="dxa"/>
          </w:tblCellMar>
        </w:tblPrEx>
        <w:tc>
          <w:tcPr>
            <w:tcW w:w="1095" w:type="pct"/>
            <w:vAlign w:val="center"/>
          </w:tcPr>
          <w:p w14:paraId="70DCDCF8">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AI工具应用</w:t>
            </w:r>
          </w:p>
        </w:tc>
        <w:tc>
          <w:tcPr>
            <w:tcW w:w="472" w:type="pct"/>
            <w:vAlign w:val="center"/>
          </w:tcPr>
          <w:p w14:paraId="64161000">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c>
          <w:tcPr>
            <w:tcW w:w="3433" w:type="pct"/>
            <w:vAlign w:val="center"/>
          </w:tcPr>
          <w:p w14:paraId="3D70BE38">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是否合理使用AI提升效率或创意</w:t>
            </w:r>
          </w:p>
        </w:tc>
      </w:tr>
      <w:tr w14:paraId="6F2C2B99">
        <w:tblPrEx>
          <w:tblBorders>
            <w:top w:val="single" w:color="B5C7EA" w:themeColor="accent1" w:themeTint="66" w:sz="4" w:space="0"/>
            <w:left w:val="single" w:color="B5C7EA" w:themeColor="accent1" w:themeTint="66" w:sz="4" w:space="0"/>
            <w:bottom w:val="single" w:color="B5C7EA" w:themeColor="accent1" w:themeTint="66" w:sz="4" w:space="0"/>
            <w:right w:val="single" w:color="B5C7EA" w:themeColor="accent1" w:themeTint="66" w:sz="4" w:space="0"/>
            <w:insideH w:val="single" w:color="B5C7EA" w:themeColor="accent1" w:themeTint="66" w:sz="4" w:space="0"/>
            <w:insideV w:val="single" w:color="B5C7EA" w:themeColor="accent1" w:themeTint="66" w:sz="4" w:space="0"/>
          </w:tblBorders>
          <w:tblCellMar>
            <w:top w:w="0" w:type="dxa"/>
            <w:left w:w="108" w:type="dxa"/>
            <w:bottom w:w="0" w:type="dxa"/>
            <w:right w:w="108" w:type="dxa"/>
          </w:tblCellMar>
        </w:tblPrEx>
        <w:tc>
          <w:tcPr>
            <w:tcW w:w="1095" w:type="pct"/>
            <w:vAlign w:val="center"/>
          </w:tcPr>
          <w:p w14:paraId="55E723F1">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传播效果</w:t>
            </w:r>
          </w:p>
        </w:tc>
        <w:tc>
          <w:tcPr>
            <w:tcW w:w="472" w:type="pct"/>
            <w:vAlign w:val="center"/>
          </w:tcPr>
          <w:p w14:paraId="1F5ABBF4">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c>
          <w:tcPr>
            <w:tcW w:w="3433" w:type="pct"/>
            <w:vAlign w:val="center"/>
          </w:tcPr>
          <w:p w14:paraId="76E94C97">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曝光量、互动率、转化引导效果</w:t>
            </w:r>
          </w:p>
        </w:tc>
      </w:tr>
      <w:tr w14:paraId="2DDE3644">
        <w:tblPrEx>
          <w:tblBorders>
            <w:top w:val="single" w:color="B5C7EA" w:themeColor="accent1" w:themeTint="66" w:sz="4" w:space="0"/>
            <w:left w:val="single" w:color="B5C7EA" w:themeColor="accent1" w:themeTint="66" w:sz="4" w:space="0"/>
            <w:bottom w:val="single" w:color="B5C7EA" w:themeColor="accent1" w:themeTint="66" w:sz="4" w:space="0"/>
            <w:right w:val="single" w:color="B5C7EA" w:themeColor="accent1" w:themeTint="66" w:sz="4" w:space="0"/>
            <w:insideH w:val="single" w:color="B5C7EA" w:themeColor="accent1" w:themeTint="66" w:sz="4" w:space="0"/>
            <w:insideV w:val="single" w:color="B5C7EA" w:themeColor="accent1" w:themeTint="66" w:sz="4" w:space="0"/>
          </w:tblBorders>
          <w:tblCellMar>
            <w:top w:w="0" w:type="dxa"/>
            <w:left w:w="108" w:type="dxa"/>
            <w:bottom w:w="0" w:type="dxa"/>
            <w:right w:w="108" w:type="dxa"/>
          </w:tblCellMar>
        </w:tblPrEx>
        <w:tc>
          <w:tcPr>
            <w:tcW w:w="1095" w:type="pct"/>
            <w:vAlign w:val="center"/>
          </w:tcPr>
          <w:p w14:paraId="0C917868">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报告完整性</w:t>
            </w:r>
          </w:p>
        </w:tc>
        <w:tc>
          <w:tcPr>
            <w:tcW w:w="472" w:type="pct"/>
            <w:vAlign w:val="center"/>
          </w:tcPr>
          <w:p w14:paraId="43C4EFF1">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c>
          <w:tcPr>
            <w:tcW w:w="3433" w:type="pct"/>
            <w:vAlign w:val="center"/>
          </w:tcPr>
          <w:p w14:paraId="7535D94C">
            <w:pPr>
              <w:keepNext w:val="0"/>
              <w:keepLines w:val="0"/>
              <w:pageBreakBefore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方案逻辑清晰、数据详实、复盘深入</w:t>
            </w:r>
          </w:p>
        </w:tc>
      </w:tr>
    </w:tbl>
    <w:p w14:paraId="188CC1FD">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70F29514">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金程为参赛者提供的支持</w:t>
      </w:r>
    </w:p>
    <w:p w14:paraId="19316E01">
      <w:pPr>
        <w:pStyle w:val="3"/>
        <w:keepNext w:val="0"/>
        <w:keepLines w:val="0"/>
        <w:pageBreakBefore w:val="0"/>
        <w:numPr>
          <w:ilvl w:val="0"/>
          <w:numId w:val="8"/>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b/>
          <w:bCs/>
          <w:sz w:val="24"/>
          <w:szCs w:val="24"/>
        </w:rPr>
        <w:t>金程教育官方素材：</w:t>
      </w:r>
      <w:r>
        <w:rPr>
          <w:rFonts w:hint="eastAsia" w:ascii="宋体" w:hAnsi="宋体" w:eastAsia="宋体" w:cs="宋体"/>
          <w:sz w:val="24"/>
          <w:szCs w:val="24"/>
        </w:rPr>
        <w:t>见附件资料</w:t>
      </w:r>
    </w:p>
    <w:p w14:paraId="705F6F44">
      <w:pPr>
        <w:pStyle w:val="3"/>
        <w:keepNext w:val="0"/>
        <w:keepLines w:val="0"/>
        <w:pageBreakBefore w:val="0"/>
        <w:numPr>
          <w:ilvl w:val="0"/>
          <w:numId w:val="8"/>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b/>
          <w:bCs/>
          <w:sz w:val="24"/>
          <w:szCs w:val="24"/>
        </w:rPr>
        <w:t>课程体验激活券：</w:t>
      </w:r>
      <w:r>
        <w:rPr>
          <w:rFonts w:hint="eastAsia" w:ascii="宋体" w:hAnsi="宋体" w:eastAsia="宋体" w:cs="宋体"/>
          <w:sz w:val="24"/>
          <w:szCs w:val="24"/>
          <w:highlight w:val="none"/>
        </w:rPr>
        <w:t>《金融新贵养成计划（大学生职业规划）》课程</w:t>
      </w:r>
      <w:r>
        <w:rPr>
          <w:rFonts w:hint="eastAsia" w:ascii="宋体" w:hAnsi="宋体" w:eastAsia="宋体" w:cs="宋体"/>
          <w:sz w:val="24"/>
          <w:szCs w:val="24"/>
        </w:rPr>
        <w:t>，价值￥499（课程链接：</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"https://www.gfedu.cn/class/gx/jrrm/c4419.html" </w:instrText>
      </w:r>
      <w:r>
        <w:rPr>
          <w:rFonts w:hint="eastAsia" w:ascii="宋体" w:hAnsi="宋体" w:eastAsia="宋体" w:cs="宋体"/>
          <w:sz w:val="24"/>
          <w:szCs w:val="24"/>
        </w:rPr>
        <w:fldChar w:fldCharType="separate"/>
      </w:r>
      <w:r>
        <w:rPr>
          <w:rStyle w:val="10"/>
          <w:rFonts w:hint="eastAsia" w:ascii="宋体" w:hAnsi="宋体" w:eastAsia="宋体" w:cs="宋体"/>
          <w:sz w:val="24"/>
          <w:szCs w:val="24"/>
        </w:rPr>
        <w:t>https://www.gfedu.cn/class/gx/jrrm/c4419.html</w:t>
      </w:r>
      <w:r>
        <w:rPr>
          <w:rStyle w:val="10"/>
          <w:rFonts w:hint="eastAsia" w:ascii="宋体" w:hAnsi="宋体" w:eastAsia="宋体" w:cs="宋体"/>
          <w:sz w:val="24"/>
          <w:szCs w:val="24"/>
        </w:rPr>
        <w:fldChar w:fldCharType="end"/>
      </w:r>
      <w:r>
        <w:rPr>
          <w:rFonts w:hint="eastAsia" w:ascii="宋体" w:hAnsi="宋体" w:eastAsia="宋体" w:cs="宋体"/>
          <w:sz w:val="24"/>
          <w:szCs w:val="24"/>
        </w:rPr>
        <w:t>）</w:t>
      </w:r>
    </w:p>
    <w:p w14:paraId="3F3E63FE">
      <w:pPr>
        <w:pStyle w:val="3"/>
        <w:keepNext w:val="0"/>
        <w:keepLines w:val="0"/>
        <w:pageBreakBefore w:val="0"/>
        <w:numPr>
          <w:ilvl w:val="0"/>
          <w:numId w:val="8"/>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b/>
          <w:bCs/>
          <w:sz w:val="24"/>
          <w:szCs w:val="24"/>
        </w:rPr>
        <w:t>课程体验激活券：</w:t>
      </w:r>
      <w:r>
        <w:rPr>
          <w:rFonts w:hint="eastAsia" w:ascii="宋体" w:hAnsi="宋体" w:eastAsia="宋体" w:cs="宋体"/>
          <w:sz w:val="24"/>
          <w:szCs w:val="24"/>
        </w:rPr>
        <w:t>《AI通识课》课程链接：</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"https://www.gfedu.cn/fl/cfa/290.html" </w:instrText>
      </w:r>
      <w:r>
        <w:rPr>
          <w:rFonts w:hint="eastAsia" w:ascii="宋体" w:hAnsi="宋体" w:eastAsia="宋体" w:cs="宋体"/>
          <w:sz w:val="24"/>
          <w:szCs w:val="24"/>
        </w:rPr>
        <w:fldChar w:fldCharType="separate"/>
      </w:r>
      <w:r>
        <w:rPr>
          <w:rStyle w:val="10"/>
          <w:rFonts w:hint="eastAsia" w:ascii="宋体" w:hAnsi="宋体" w:eastAsia="宋体" w:cs="宋体"/>
          <w:sz w:val="24"/>
          <w:szCs w:val="24"/>
        </w:rPr>
        <w:t>https://www.gfedu.cn/fl/cfa/290.html</w:t>
      </w:r>
      <w:r>
        <w:rPr>
          <w:rStyle w:val="10"/>
          <w:rFonts w:hint="eastAsia" w:ascii="宋体" w:hAnsi="宋体" w:eastAsia="宋体" w:cs="宋体"/>
          <w:sz w:val="24"/>
          <w:szCs w:val="24"/>
        </w:rPr>
        <w:fldChar w:fldCharType="end"/>
      </w:r>
    </w:p>
    <w:p w14:paraId="3F42D3D8">
      <w:pPr>
        <w:pStyle w:val="3"/>
        <w:keepNext w:val="0"/>
        <w:keepLines w:val="0"/>
        <w:pageBreakBefore w:val="0"/>
        <w:numPr>
          <w:ilvl w:val="0"/>
          <w:numId w:val="8"/>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b/>
          <w:bCs/>
          <w:sz w:val="24"/>
          <w:szCs w:val="24"/>
        </w:rPr>
        <w:t>导师在线答疑：</w:t>
      </w:r>
      <w:r>
        <w:rPr>
          <w:rFonts w:hint="eastAsia" w:ascii="宋体" w:hAnsi="宋体" w:eastAsia="宋体" w:cs="宋体"/>
          <w:sz w:val="24"/>
          <w:szCs w:val="24"/>
        </w:rPr>
        <w:t>比赛期间安排金程专业老师在线解答关于课程内容的疑问</w:t>
      </w:r>
    </w:p>
    <w:p w14:paraId="750A393B">
      <w:pPr>
        <w:pStyle w:val="3"/>
        <w:keepNext w:val="0"/>
        <w:keepLines w:val="0"/>
        <w:pageBreakBefore w:val="0"/>
        <w:numPr>
          <w:ilvl w:val="0"/>
          <w:numId w:val="8"/>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rPr>
      </w:pPr>
      <w:r>
        <w:rPr>
          <w:rFonts w:hint="eastAsia" w:ascii="宋体" w:hAnsi="宋体" w:eastAsia="宋体" w:cs="宋体"/>
          <w:b/>
          <w:bCs/>
          <w:sz w:val="24"/>
          <w:szCs w:val="24"/>
        </w:rPr>
        <w:t>优秀作品展示：</w:t>
      </w:r>
      <w:r>
        <w:rPr>
          <w:rFonts w:hint="eastAsia" w:ascii="宋体" w:hAnsi="宋体" w:eastAsia="宋体" w:cs="宋体"/>
          <w:sz w:val="24"/>
          <w:szCs w:val="24"/>
        </w:rPr>
        <w:t>获奖作品将在金程官方渠道展示，并有机会获得实习面试机会</w:t>
      </w:r>
    </w:p>
    <w:p w14:paraId="5B588C5B">
      <w:pPr>
        <w:pStyle w:val="3"/>
        <w:keepNext w:val="0"/>
        <w:keepLines w:val="0"/>
        <w:pageBreakBefore w:val="0"/>
        <w:numPr>
          <w:ilvl w:val="0"/>
          <w:numId w:val="8"/>
        </w:numPr>
        <w:kinsoku/>
        <w:wordWrap/>
        <w:overflowPunct/>
        <w:topLinePunct w:val="0"/>
        <w:autoSpaceDE/>
        <w:autoSpaceDN/>
        <w:bidi w:val="0"/>
        <w:adjustRightInd/>
        <w:snapToGrid/>
        <w:spacing w:line="500" w:lineRule="exact"/>
        <w:ind w:firstLineChars="0"/>
        <w:textAlignment w:val="auto"/>
        <w:rPr>
          <w:rFonts w:hint="eastAsia" w:ascii="宋体" w:hAnsi="宋体" w:eastAsia="宋体" w:cs="宋体"/>
          <w:sz w:val="24"/>
          <w:szCs w:val="24"/>
          <w:highlight w:val="none"/>
        </w:rPr>
      </w:pPr>
      <w:r>
        <w:rPr>
          <w:rFonts w:hint="eastAsia" w:ascii="宋体" w:hAnsi="宋体" w:eastAsia="宋体" w:cs="宋体"/>
          <w:b/>
          <w:bCs/>
          <w:sz w:val="24"/>
          <w:szCs w:val="24"/>
        </w:rPr>
        <w:t>赛前直播宣讲：</w:t>
      </w:r>
      <w:r>
        <w:rPr>
          <w:rFonts w:hint="eastAsia" w:ascii="宋体" w:hAnsi="宋体" w:eastAsia="宋体" w:cs="宋体"/>
          <w:sz w:val="24"/>
          <w:szCs w:val="24"/>
          <w:highlight w:val="none"/>
        </w:rPr>
        <w:t>1小时直播课《AI时代，如何用内容打造你的职业竞争力》</w:t>
      </w:r>
    </w:p>
    <w:p w14:paraId="4EB33DCE">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4943F9D2">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总结</w:t>
      </w:r>
    </w:p>
    <w:p w14:paraId="1D682D6B">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本命题以AI赋能+职业成长+内容实战+品牌传播为核心，既贴合当下大学生关注的热点，又能有效提升金程教育的品牌影响力。通过真实内容发布与传播路径设计，参赛学生不仅能获得实战经验，也能在过程中加深对金程课程的了解，成为金程品牌的年轻传播者。</w:t>
      </w:r>
    </w:p>
    <w:p w14:paraId="7B76D5F8">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如需进一步细化评分细则、宣讲PPT模板或示例内容，可随时联系金程教育命题组。</w:t>
      </w:r>
      <w:r>
        <w:rPr>
          <w:rFonts w:hint="eastAsia" w:ascii="宋体" w:hAnsi="宋体" w:eastAsia="宋体" w:cs="宋体"/>
          <w:sz w:val="24"/>
          <w:szCs w:val="24"/>
        </w:rPr>
        <w:br w:type="page"/>
      </w:r>
    </w:p>
    <w:p w14:paraId="04527D6A">
      <w:pPr>
        <w:pStyle w:val="2"/>
        <w:keepNext w:val="0"/>
        <w:keepLines w:val="0"/>
        <w:pageBreakBefore w:val="0"/>
        <w:kinsoku/>
        <w:wordWrap/>
        <w:overflowPunct/>
        <w:topLinePunct w:val="0"/>
        <w:autoSpaceDE/>
        <w:autoSpaceDN/>
        <w:bidi w:val="0"/>
        <w:adjustRightInd/>
        <w:snapToGrid/>
        <w:spacing w:before="0" w:beforeLines="0" w:line="500" w:lineRule="exact"/>
        <w:textAlignment w:val="auto"/>
        <w:rPr>
          <w:rFonts w:hint="eastAsia" w:ascii="宋体" w:hAnsi="宋体" w:eastAsia="宋体" w:cs="宋体"/>
          <w:sz w:val="24"/>
          <w:szCs w:val="24"/>
        </w:rPr>
      </w:pPr>
      <w:r>
        <w:rPr>
          <w:rFonts w:hint="eastAsia" w:ascii="宋体" w:hAnsi="宋体" w:eastAsia="宋体" w:cs="宋体"/>
          <w:sz w:val="24"/>
          <w:szCs w:val="24"/>
        </w:rPr>
        <w:t>附录：金程教育介绍</w:t>
      </w:r>
    </w:p>
    <w:p w14:paraId="4ACFC83A">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金程教育是一家以财经培训为核心的专业机构，自2</w:t>
      </w:r>
      <w:r>
        <w:rPr>
          <w:rFonts w:hint="eastAsia" w:ascii="宋体" w:hAnsi="宋体" w:eastAsia="宋体" w:cs="宋体"/>
          <w:sz w:val="24"/>
          <w:szCs w:val="24"/>
        </w:rPr>
        <w:t>000</w:t>
      </w:r>
      <w:r>
        <w:rPr>
          <w:rFonts w:hint="eastAsia" w:ascii="宋体" w:hAnsi="宋体" w:eastAsia="宋体" w:cs="宋体"/>
          <w:sz w:val="24"/>
          <w:szCs w:val="24"/>
        </w:rPr>
        <w:t>年创立品牌以来，始终秉承“服务社会·帮助他人·成就自己”的价值观，以前瞻的视角和专业的品质服务客户、成就客户，着力打造财经教育领域的匠心品牌。</w:t>
      </w:r>
    </w:p>
    <w:p w14:paraId="2041298C">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20余年品牌发展历程，金程教育设立了</w:t>
      </w:r>
      <w:r>
        <w:rPr>
          <w:rFonts w:hint="eastAsia" w:ascii="宋体" w:hAnsi="宋体" w:eastAsia="宋体" w:cs="宋体"/>
          <w:b/>
          <w:sz w:val="24"/>
          <w:szCs w:val="24"/>
        </w:rPr>
        <w:t>六大子品牌</w:t>
      </w:r>
      <w:r>
        <w:rPr>
          <w:rFonts w:hint="eastAsia" w:ascii="宋体" w:hAnsi="宋体" w:eastAsia="宋体" w:cs="宋体"/>
          <w:sz w:val="24"/>
          <w:szCs w:val="24"/>
        </w:rPr>
        <w:t>（金程财经、金程理财、金程会计、金程考研、金程网校和金程内训）；建立了</w:t>
      </w:r>
      <w:r>
        <w:rPr>
          <w:rFonts w:hint="eastAsia" w:ascii="宋体" w:hAnsi="宋体" w:eastAsia="宋体" w:cs="宋体"/>
          <w:b/>
          <w:sz w:val="24"/>
          <w:szCs w:val="24"/>
        </w:rPr>
        <w:t>四大人才培养模型</w:t>
      </w:r>
      <w:r>
        <w:rPr>
          <w:rFonts w:hint="eastAsia" w:ascii="宋体" w:hAnsi="宋体" w:eastAsia="宋体" w:cs="宋体"/>
          <w:sz w:val="24"/>
          <w:szCs w:val="24"/>
        </w:rPr>
        <w:t>（国际化财经人才培养模型、财富管理绩优人才模型、会计专业人才培养模型、硕博人才培养模型）；构筑了</w:t>
      </w:r>
      <w:r>
        <w:rPr>
          <w:rFonts w:hint="eastAsia" w:ascii="宋体" w:hAnsi="宋体" w:eastAsia="宋体" w:cs="宋体"/>
          <w:b/>
          <w:sz w:val="24"/>
          <w:szCs w:val="24"/>
        </w:rPr>
        <w:t>三大交流平台</w:t>
      </w:r>
      <w:r>
        <w:rPr>
          <w:rFonts w:hint="eastAsia" w:ascii="宋体" w:hAnsi="宋体" w:eastAsia="宋体" w:cs="宋体"/>
          <w:sz w:val="24"/>
          <w:szCs w:val="24"/>
        </w:rPr>
        <w:t>（金友汇-全球校友交流平台、金程杯-大学生交流平台、摩天大讲堂-全球专业人士交流平台）；打造终身学习持续赋能的专业成长生态圈，助力学员夯实硬实力、提升软实力，实现个人成长与发展。</w:t>
      </w:r>
    </w:p>
    <w:p w14:paraId="7EE3967B">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金程教育以客户为中心，坚持不断提升教育教学质量，推出了系列产品，包括：</w:t>
      </w:r>
    </w:p>
    <w:p w14:paraId="7C10D67B">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sz w:val="24"/>
          <w:szCs w:val="24"/>
        </w:rPr>
      </w:pPr>
      <w:r>
        <w:rPr>
          <w:rFonts w:hint="eastAsia" w:ascii="宋体" w:hAnsi="宋体" w:eastAsia="宋体" w:cs="宋体"/>
          <w:b/>
          <w:sz w:val="24"/>
          <w:szCs w:val="24"/>
        </w:rPr>
        <w:t>国内外金融证书考试培训</w:t>
      </w:r>
      <w:r>
        <w:rPr>
          <w:rFonts w:hint="eastAsia" w:ascii="宋体" w:hAnsi="宋体" w:eastAsia="宋体" w:cs="宋体"/>
          <w:sz w:val="24"/>
          <w:szCs w:val="24"/>
        </w:rPr>
        <w:t>：CRMO</w:t>
      </w:r>
      <w:r>
        <w:rPr>
          <w:rFonts w:hint="eastAsia" w:ascii="宋体" w:hAnsi="宋体" w:eastAsia="宋体" w:cs="宋体"/>
          <w:color w:val="333333"/>
          <w:sz w:val="24"/>
          <w:szCs w:val="24"/>
          <w:shd w:val="clear" w:color="auto" w:fill="FFFFFF"/>
        </w:rPr>
        <w:t>®</w:t>
      </w:r>
      <w:r>
        <w:rPr>
          <w:rFonts w:hint="eastAsia" w:ascii="宋体" w:hAnsi="宋体" w:eastAsia="宋体" w:cs="宋体"/>
          <w:sz w:val="24"/>
          <w:szCs w:val="24"/>
        </w:rPr>
        <w:t>注册风险管理师（原CFRM</w:t>
      </w:r>
      <w:r>
        <w:rPr>
          <w:rFonts w:hint="eastAsia" w:ascii="宋体" w:hAnsi="宋体" w:eastAsia="宋体" w:cs="宋体"/>
          <w:color w:val="333333"/>
          <w:sz w:val="24"/>
          <w:szCs w:val="24"/>
          <w:shd w:val="clear" w:color="auto" w:fill="FFFFFF"/>
        </w:rPr>
        <w:t>®</w:t>
      </w:r>
      <w:r>
        <w:rPr>
          <w:rFonts w:hint="eastAsia" w:ascii="宋体" w:hAnsi="宋体" w:eastAsia="宋体" w:cs="宋体"/>
          <w:sz w:val="24"/>
          <w:szCs w:val="24"/>
        </w:rPr>
        <w:t>注册金融风险管理师）、AQF</w:t>
      </w:r>
      <w:r>
        <w:rPr>
          <w:rFonts w:hint="eastAsia" w:ascii="宋体" w:hAnsi="宋体" w:eastAsia="宋体" w:cs="宋体"/>
          <w:color w:val="333333"/>
          <w:sz w:val="24"/>
          <w:szCs w:val="24"/>
          <w:shd w:val="clear" w:color="auto" w:fill="FFFFFF"/>
        </w:rPr>
        <w:t>®</w:t>
      </w:r>
      <w:r>
        <w:rPr>
          <w:rFonts w:hint="eastAsia" w:ascii="宋体" w:hAnsi="宋体" w:eastAsia="宋体" w:cs="宋体"/>
          <w:sz w:val="24"/>
          <w:szCs w:val="24"/>
        </w:rPr>
        <w:t>量化金融分析师、</w:t>
      </w:r>
      <w:r>
        <w:rPr>
          <w:rFonts w:hint="eastAsia" w:ascii="宋体" w:hAnsi="宋体" w:eastAsia="宋体" w:cs="宋体"/>
          <w:sz w:val="24"/>
          <w:szCs w:val="24"/>
        </w:rPr>
        <w:t>AFV</w:t>
      </w:r>
      <w:r>
        <w:rPr>
          <w:rFonts w:hint="eastAsia" w:ascii="宋体" w:hAnsi="宋体" w:eastAsia="宋体" w:cs="宋体"/>
          <w:color w:val="333333"/>
          <w:sz w:val="24"/>
          <w:szCs w:val="24"/>
          <w:shd w:val="clear" w:color="auto" w:fill="FFFFFF"/>
        </w:rPr>
        <w:t>®</w:t>
      </w:r>
      <w:r>
        <w:rPr>
          <w:rFonts w:hint="eastAsia" w:ascii="宋体" w:hAnsi="宋体" w:eastAsia="宋体" w:cs="宋体"/>
          <w:sz w:val="24"/>
          <w:szCs w:val="24"/>
        </w:rPr>
        <w:t>财务估值分析师、CFA特许金融分析师、FRM金融风险管理师、CIIA注册国际投资分析师、CGFC</w:t>
      </w:r>
      <w:r>
        <w:rPr>
          <w:rFonts w:hint="eastAsia" w:ascii="宋体" w:hAnsi="宋体" w:eastAsia="宋体" w:cs="宋体"/>
          <w:color w:val="333333"/>
          <w:sz w:val="24"/>
          <w:szCs w:val="24"/>
          <w:shd w:val="clear" w:color="auto" w:fill="FFFFFF"/>
        </w:rPr>
        <w:t>®</w:t>
      </w:r>
      <w:r>
        <w:rPr>
          <w:rFonts w:hint="eastAsia" w:ascii="宋体" w:hAnsi="宋体" w:eastAsia="宋体" w:cs="宋体"/>
          <w:sz w:val="24"/>
          <w:szCs w:val="24"/>
        </w:rPr>
        <w:t>注册绿色金融分析师、ESGCIP</w:t>
      </w:r>
      <w:r>
        <w:rPr>
          <w:rFonts w:hint="eastAsia" w:ascii="宋体" w:hAnsi="宋体" w:eastAsia="宋体" w:cs="宋体"/>
          <w:color w:val="333333"/>
          <w:sz w:val="24"/>
          <w:szCs w:val="24"/>
          <w:shd w:val="clear" w:color="auto" w:fill="FFFFFF"/>
        </w:rPr>
        <w:t>®</w:t>
      </w:r>
      <w:r>
        <w:rPr>
          <w:rFonts w:hint="eastAsia" w:ascii="宋体" w:hAnsi="宋体" w:eastAsia="宋体" w:cs="宋体"/>
          <w:sz w:val="24"/>
          <w:szCs w:val="24"/>
        </w:rPr>
        <w:t>ESG特许投资分析师、C</w:t>
      </w:r>
      <w:r>
        <w:rPr>
          <w:rFonts w:hint="eastAsia" w:ascii="宋体" w:hAnsi="宋体" w:eastAsia="宋体" w:cs="宋体"/>
          <w:sz w:val="24"/>
          <w:szCs w:val="24"/>
        </w:rPr>
        <w:t>FA</w:t>
      </w:r>
      <w:r>
        <w:rPr>
          <w:rFonts w:hint="eastAsia" w:ascii="宋体" w:hAnsi="宋体" w:eastAsia="宋体" w:cs="宋体"/>
          <w:sz w:val="24"/>
          <w:szCs w:val="24"/>
        </w:rPr>
        <w:t>ESG投资资格认证、中级经济师、证券从业、基金从业、银行从业：</w:t>
      </w:r>
    </w:p>
    <w:p w14:paraId="2D0118CE">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sz w:val="24"/>
          <w:szCs w:val="24"/>
        </w:rPr>
      </w:pPr>
      <w:r>
        <w:rPr>
          <w:rFonts w:hint="eastAsia" w:ascii="宋体" w:hAnsi="宋体" w:eastAsia="宋体" w:cs="宋体"/>
          <w:b/>
          <w:sz w:val="24"/>
          <w:szCs w:val="24"/>
        </w:rPr>
        <w:t>国内外财会证书考试培训</w:t>
      </w:r>
      <w:r>
        <w:rPr>
          <w:rFonts w:hint="eastAsia" w:ascii="宋体" w:hAnsi="宋体" w:eastAsia="宋体" w:cs="宋体"/>
          <w:sz w:val="24"/>
          <w:szCs w:val="24"/>
        </w:rPr>
        <w:t>：CPA注册会计师、CMA注册管理会计师、ACCA特许公认会计师公会、DMA数字化管理会计、会计职称；</w:t>
      </w:r>
    </w:p>
    <w:p w14:paraId="1E2174E0">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sz w:val="24"/>
          <w:szCs w:val="24"/>
        </w:rPr>
      </w:pPr>
      <w:r>
        <w:rPr>
          <w:rFonts w:hint="eastAsia" w:ascii="宋体" w:hAnsi="宋体" w:eastAsia="宋体" w:cs="宋体"/>
          <w:b/>
          <w:sz w:val="24"/>
          <w:szCs w:val="24"/>
        </w:rPr>
        <w:t>国内外理财证书考试培训</w:t>
      </w:r>
      <w:r>
        <w:rPr>
          <w:rFonts w:hint="eastAsia" w:ascii="宋体" w:hAnsi="宋体" w:eastAsia="宋体" w:cs="宋体"/>
          <w:sz w:val="24"/>
          <w:szCs w:val="24"/>
        </w:rPr>
        <w:t>：AFM</w:t>
      </w:r>
      <w:r>
        <w:rPr>
          <w:rFonts w:hint="eastAsia" w:ascii="宋体" w:hAnsi="宋体" w:eastAsia="宋体" w:cs="宋体"/>
          <w:color w:val="333333"/>
          <w:sz w:val="24"/>
          <w:szCs w:val="24"/>
          <w:shd w:val="clear" w:color="auto" w:fill="FFFFFF"/>
        </w:rPr>
        <w:t>®</w:t>
      </w:r>
      <w:r>
        <w:rPr>
          <w:rFonts w:hint="eastAsia" w:ascii="宋体" w:hAnsi="宋体" w:eastAsia="宋体" w:cs="宋体"/>
          <w:sz w:val="24"/>
          <w:szCs w:val="24"/>
        </w:rPr>
        <w:t>国际注册财富规划师、FPP</w:t>
      </w:r>
      <w:r>
        <w:rPr>
          <w:rFonts w:hint="eastAsia" w:ascii="宋体" w:hAnsi="宋体" w:eastAsia="宋体" w:cs="宋体"/>
          <w:color w:val="333333"/>
          <w:sz w:val="24"/>
          <w:szCs w:val="24"/>
          <w:shd w:val="clear" w:color="auto" w:fill="FFFFFF"/>
        </w:rPr>
        <w:t>®</w:t>
      </w:r>
      <w:r>
        <w:rPr>
          <w:rFonts w:hint="eastAsia" w:ascii="宋体" w:hAnsi="宋体" w:eastAsia="宋体" w:cs="宋体"/>
          <w:sz w:val="24"/>
          <w:szCs w:val="24"/>
        </w:rPr>
        <w:t>养老规划师、RHM</w:t>
      </w:r>
      <w:r>
        <w:rPr>
          <w:rFonts w:hint="eastAsia" w:ascii="宋体" w:hAnsi="宋体" w:eastAsia="宋体" w:cs="宋体"/>
          <w:color w:val="333333"/>
          <w:sz w:val="24"/>
          <w:szCs w:val="24"/>
          <w:shd w:val="clear" w:color="auto" w:fill="FFFFFF"/>
        </w:rPr>
        <w:t>®</w:t>
      </w:r>
      <w:r>
        <w:rPr>
          <w:rFonts w:hint="eastAsia" w:ascii="宋体" w:hAnsi="宋体" w:eastAsia="宋体" w:cs="宋体"/>
          <w:sz w:val="24"/>
          <w:szCs w:val="24"/>
        </w:rPr>
        <w:t>健康风险管理师、CPH</w:t>
      </w:r>
      <w:r>
        <w:rPr>
          <w:rFonts w:hint="eastAsia" w:ascii="宋体" w:hAnsi="宋体" w:eastAsia="宋体" w:cs="宋体"/>
          <w:color w:val="333333"/>
          <w:sz w:val="24"/>
          <w:szCs w:val="24"/>
          <w:shd w:val="clear" w:color="auto" w:fill="FFFFFF"/>
        </w:rPr>
        <w:t>®</w:t>
      </w:r>
      <w:r>
        <w:rPr>
          <w:rFonts w:hint="eastAsia" w:ascii="宋体" w:hAnsi="宋体" w:eastAsia="宋体" w:cs="宋体"/>
          <w:sz w:val="24"/>
          <w:szCs w:val="24"/>
        </w:rPr>
        <w:t>康养规划师、WTP</w:t>
      </w:r>
      <w:r>
        <w:rPr>
          <w:rFonts w:hint="eastAsia" w:ascii="宋体" w:hAnsi="宋体" w:eastAsia="宋体" w:cs="宋体"/>
          <w:color w:val="333333"/>
          <w:sz w:val="24"/>
          <w:szCs w:val="24"/>
          <w:shd w:val="clear" w:color="auto" w:fill="FFFFFF"/>
        </w:rPr>
        <w:t>®</w:t>
      </w:r>
      <w:r>
        <w:rPr>
          <w:rFonts w:hint="eastAsia" w:ascii="宋体" w:hAnsi="宋体" w:eastAsia="宋体" w:cs="宋体"/>
          <w:sz w:val="24"/>
          <w:szCs w:val="24"/>
        </w:rPr>
        <w:t>个税申报师、FAA家庭资产配置架构师、RFP美国注册财务策划师；</w:t>
      </w:r>
    </w:p>
    <w:p w14:paraId="048D6748">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sz w:val="24"/>
          <w:szCs w:val="24"/>
        </w:rPr>
      </w:pPr>
      <w:r>
        <w:rPr>
          <w:rFonts w:hint="eastAsia" w:ascii="宋体" w:hAnsi="宋体" w:eastAsia="宋体" w:cs="宋体"/>
          <w:b/>
          <w:sz w:val="24"/>
          <w:szCs w:val="24"/>
        </w:rPr>
        <w:t>研究生入学考试辅导培训</w:t>
      </w:r>
      <w:r>
        <w:rPr>
          <w:rFonts w:hint="eastAsia" w:ascii="宋体" w:hAnsi="宋体" w:eastAsia="宋体" w:cs="宋体"/>
          <w:sz w:val="24"/>
          <w:szCs w:val="24"/>
        </w:rPr>
        <w:t>：金融硕士、经济学、计算机、工科、法律硕士、管理类专硕（MPAcc/MBA/MPA等）、临床医学、药学、应用统计、资产评估、国际商务、保险硕士、心理学、教育学、新闻与传播、社会工作、语言文学、艺术类等专业考试辅导；</w:t>
      </w:r>
      <w:r>
        <w:rPr>
          <w:rFonts w:hint="eastAsia" w:ascii="宋体" w:hAnsi="宋体" w:eastAsia="宋体" w:cs="宋体"/>
          <w:b/>
          <w:sz w:val="24"/>
          <w:szCs w:val="24"/>
        </w:rPr>
        <w:t>在职硕博辅导培训</w:t>
      </w:r>
      <w:r>
        <w:rPr>
          <w:rFonts w:hint="eastAsia" w:ascii="宋体" w:hAnsi="宋体" w:eastAsia="宋体" w:cs="宋体"/>
          <w:sz w:val="24"/>
          <w:szCs w:val="24"/>
        </w:rPr>
        <w:t>：同等学力、专业硕士、国际硕士、在职博士；</w:t>
      </w:r>
    </w:p>
    <w:p w14:paraId="3FBFE795">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sz w:val="24"/>
          <w:szCs w:val="24"/>
        </w:rPr>
      </w:pPr>
      <w:r>
        <w:rPr>
          <w:rFonts w:hint="eastAsia" w:ascii="宋体" w:hAnsi="宋体" w:eastAsia="宋体" w:cs="宋体"/>
          <w:b/>
          <w:sz w:val="24"/>
          <w:szCs w:val="24"/>
        </w:rPr>
        <w:t>金融行业实操技能培训：</w:t>
      </w:r>
      <w:r>
        <w:rPr>
          <w:rFonts w:hint="eastAsia" w:ascii="宋体" w:hAnsi="宋体" w:eastAsia="宋体" w:cs="宋体"/>
          <w:sz w:val="24"/>
          <w:szCs w:val="24"/>
        </w:rPr>
        <w:t>为金融行业从业者提供财务分析系列、风险管理系列、个人理财系列、公司金融系列、金融科技系列、会计实务系列等实务实操课程；</w:t>
      </w:r>
    </w:p>
    <w:p w14:paraId="40242256">
      <w:pPr>
        <w:keepNext w:val="0"/>
        <w:keepLines w:val="0"/>
        <w:pageBreakBefore w:val="0"/>
        <w:kinsoku/>
        <w:wordWrap/>
        <w:overflowPunct/>
        <w:topLinePunct w:val="0"/>
        <w:autoSpaceDE/>
        <w:autoSpaceDN/>
        <w:bidi w:val="0"/>
        <w:adjustRightInd/>
        <w:snapToGrid/>
        <w:spacing w:line="500" w:lineRule="exact"/>
        <w:ind w:firstLine="422"/>
        <w:textAlignment w:val="auto"/>
        <w:rPr>
          <w:rFonts w:hint="eastAsia" w:ascii="宋体" w:hAnsi="宋体" w:eastAsia="宋体" w:cs="宋体"/>
          <w:b/>
          <w:sz w:val="24"/>
          <w:szCs w:val="24"/>
        </w:rPr>
      </w:pPr>
      <w:r>
        <w:rPr>
          <w:rFonts w:hint="eastAsia" w:ascii="宋体" w:hAnsi="宋体" w:eastAsia="宋体" w:cs="宋体"/>
          <w:b/>
          <w:sz w:val="24"/>
          <w:szCs w:val="24"/>
        </w:rPr>
        <w:t>B端机构定制培训服务：</w:t>
      </w:r>
      <w:r>
        <w:rPr>
          <w:rFonts w:hint="eastAsia" w:ascii="宋体" w:hAnsi="宋体" w:eastAsia="宋体" w:cs="宋体"/>
          <w:sz w:val="24"/>
          <w:szCs w:val="24"/>
        </w:rPr>
        <w:t>为银行、保险、证券、信托、基金等机构及各大院校提供定制培训服务。</w:t>
      </w:r>
    </w:p>
    <w:p w14:paraId="4546039A">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作为一家专业财经培训机构，金程教育秉承</w:t>
      </w:r>
      <w:r>
        <w:rPr>
          <w:rFonts w:hint="eastAsia" w:ascii="宋体" w:hAnsi="宋体" w:eastAsia="宋体" w:cs="宋体"/>
          <w:b/>
          <w:bCs/>
          <w:sz w:val="24"/>
          <w:szCs w:val="24"/>
        </w:rPr>
        <w:t>“专业来自101%的投入”</w:t>
      </w:r>
      <w:r>
        <w:rPr>
          <w:rFonts w:hint="eastAsia" w:ascii="宋体" w:hAnsi="宋体" w:eastAsia="宋体" w:cs="宋体"/>
          <w:sz w:val="24"/>
          <w:szCs w:val="24"/>
        </w:rPr>
        <w:t>的理念，将</w:t>
      </w:r>
      <w:r>
        <w:rPr>
          <w:rFonts w:hint="eastAsia" w:ascii="宋体" w:hAnsi="宋体" w:eastAsia="宋体" w:cs="宋体"/>
          <w:b/>
          <w:bCs/>
          <w:sz w:val="24"/>
          <w:szCs w:val="24"/>
        </w:rPr>
        <w:t>“为国培养人才和传播知识薪火”</w:t>
      </w:r>
      <w:r>
        <w:rPr>
          <w:rFonts w:hint="eastAsia" w:ascii="宋体" w:hAnsi="宋体" w:eastAsia="宋体" w:cs="宋体"/>
          <w:sz w:val="24"/>
          <w:szCs w:val="24"/>
        </w:rPr>
        <w:t>作为自己的使命和担当，20多年的耕耘，形成了金程独有的四大优势，暨专业优势、运营优势、资源优势和地域优势，成为专业人才培育领域的佼佼者，得到了政府、金融机构、企业、高校的高度认可。</w:t>
      </w:r>
    </w:p>
    <w:p w14:paraId="63F0F538">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0F29D060">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1F2FD1BF">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365A7FA0">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1EE7F287">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55AF88AE">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38FB8338">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17A742C0">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68DB1247">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279DCF63">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11901C6F">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77E5C9BC">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7E224EB6">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35E15F9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kern w:val="0"/>
          <w:sz w:val="24"/>
          <w:szCs w:val="24"/>
          <w:lang w:val="en-US" w:eastAsia="zh-CN"/>
        </w:rPr>
      </w:pPr>
    </w:p>
    <w:p w14:paraId="0D8DBCC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kern w:val="0"/>
          <w:sz w:val="24"/>
          <w:szCs w:val="24"/>
          <w:lang w:val="en-US" w:eastAsia="zh-CN"/>
        </w:rPr>
      </w:pPr>
    </w:p>
    <w:p w14:paraId="33231B7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kern w:val="0"/>
          <w:sz w:val="24"/>
          <w:szCs w:val="24"/>
          <w:lang w:val="en-US" w:eastAsia="zh-CN"/>
        </w:rPr>
      </w:pPr>
    </w:p>
    <w:p w14:paraId="569ABFA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kern w:val="0"/>
          <w:sz w:val="24"/>
          <w:szCs w:val="24"/>
          <w:lang w:val="en-US" w:eastAsia="zh-CN"/>
        </w:rPr>
      </w:pPr>
    </w:p>
    <w:p w14:paraId="1A3EE08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kern w:val="0"/>
          <w:sz w:val="24"/>
          <w:szCs w:val="24"/>
          <w:lang w:val="en-US" w:eastAsia="zh-CN"/>
        </w:rPr>
      </w:pPr>
    </w:p>
    <w:p w14:paraId="49E4A7D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kern w:val="0"/>
          <w:sz w:val="24"/>
          <w:szCs w:val="24"/>
          <w:lang w:val="en-US" w:eastAsia="zh-CN"/>
        </w:rPr>
      </w:pPr>
    </w:p>
    <w:p w14:paraId="312AE54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 xml:space="preserve">命题4    </w:t>
      </w:r>
      <w:r>
        <w:rPr>
          <w:rFonts w:hint="eastAsia" w:ascii="宋体" w:hAnsi="宋体" w:eastAsia="宋体" w:cs="宋体"/>
          <w:color w:val="000000"/>
          <w:kern w:val="0"/>
          <w:sz w:val="24"/>
          <w:szCs w:val="24"/>
        </w:rPr>
        <w:t>基于迈富时数字营销平台的企业营销方案策划</w:t>
      </w:r>
    </w:p>
    <w:p w14:paraId="63871E2E">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1.命题方向</w:t>
      </w:r>
    </w:p>
    <w:p w14:paraId="52F9A523">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数字营销</w:t>
      </w:r>
    </w:p>
    <w:p w14:paraId="58B11245">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2.题目类别</w:t>
      </w:r>
    </w:p>
    <w:p w14:paraId="4BAB4BCF">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应用</w:t>
      </w:r>
      <w:r>
        <w:rPr>
          <w:rFonts w:hint="eastAsia" w:ascii="宋体" w:hAnsi="宋体" w:eastAsia="宋体" w:cs="宋体"/>
          <w:color w:val="000000"/>
          <w:kern w:val="0"/>
          <w:sz w:val="24"/>
          <w:szCs w:val="24"/>
        </w:rPr>
        <w:t>类</w:t>
      </w:r>
    </w:p>
    <w:p w14:paraId="7E2977E0">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3.题目名称</w:t>
      </w:r>
    </w:p>
    <w:p w14:paraId="13E1AA3F">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基于</w:t>
      </w:r>
      <w:r>
        <w:rPr>
          <w:rFonts w:hint="eastAsia" w:ascii="宋体" w:hAnsi="宋体" w:eastAsia="宋体" w:cs="宋体"/>
          <w:color w:val="000000"/>
          <w:kern w:val="0"/>
          <w:sz w:val="24"/>
          <w:szCs w:val="24"/>
          <w:lang w:val="en-US" w:eastAsia="zh-CN"/>
        </w:rPr>
        <w:t>迈富时</w:t>
      </w:r>
      <w:r>
        <w:rPr>
          <w:rFonts w:hint="eastAsia" w:ascii="宋体" w:hAnsi="宋体" w:eastAsia="宋体" w:cs="宋体"/>
          <w:color w:val="000000"/>
          <w:kern w:val="0"/>
          <w:sz w:val="24"/>
          <w:szCs w:val="24"/>
        </w:rPr>
        <w:t>数字营销平台的企业营销方案策划</w:t>
      </w:r>
    </w:p>
    <w:p w14:paraId="5447FA9F">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4.背景说明</w:t>
      </w:r>
    </w:p>
    <w:p w14:paraId="7562FFF5">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【整体背景】</w:t>
      </w:r>
    </w:p>
    <w:p w14:paraId="637F8C83">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车企数字化加速‌：在新能源汽车市场竞争白热化背景下，汽车</w:t>
      </w:r>
      <w:r>
        <w:rPr>
          <w:rFonts w:hint="eastAsia" w:ascii="宋体" w:hAnsi="宋体" w:eastAsia="宋体" w:cs="宋体"/>
          <w:color w:val="000000"/>
          <w:kern w:val="0"/>
          <w:sz w:val="24"/>
          <w:szCs w:val="24"/>
          <w:lang w:val="en-US" w:eastAsia="zh-CN"/>
        </w:rPr>
        <w:t>行业</w:t>
      </w:r>
      <w:r>
        <w:rPr>
          <w:rFonts w:hint="eastAsia" w:ascii="宋体" w:hAnsi="宋体" w:eastAsia="宋体" w:cs="宋体"/>
          <w:color w:val="000000"/>
          <w:kern w:val="0"/>
          <w:sz w:val="24"/>
          <w:szCs w:val="24"/>
        </w:rPr>
        <w:t>亟需突破传统“重渠道、轻运营”的模式，转向以‌客户为中心‌的精细化运营体系，尤其在新能源车型推广中，对私域流量沉淀与复购转化提出更高要求。</w:t>
      </w:r>
    </w:p>
    <w:p w14:paraId="14CD14D4">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‌营销模式重构‌：传统4S店依赖人工跟进的销售链路效率低、数据孤岛严重，亟需通过‌AI+SCRM‌实现线索全生命周期管理，打通“获客—培育—转化—服务”闭环</w:t>
      </w:r>
    </w:p>
    <w:p w14:paraId="18159028">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【公司背景】</w:t>
      </w:r>
    </w:p>
    <w:p w14:paraId="4D4139AF">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迈富时（Marketingforce）是全球领先的AI智能营销云平台，也是国内营销SaaS领域的绝对龙头，2024年在香港上市（股票代码：02556.HK）。公司2009年成立于上海，专注用AI和大数据帮企业做数字化转型，提供从营销、销售到客户管理的全链路SaaS服务，累计服务超20万家企业，覆盖零售、金融、制造等多个行业。</w:t>
      </w:r>
    </w:p>
    <w:p w14:paraId="56BAA852">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【业务背景】</w:t>
      </w:r>
    </w:p>
    <w:p w14:paraId="14ADC464">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迈富时</w:t>
      </w:r>
      <w:r>
        <w:rPr>
          <w:rFonts w:hint="eastAsia" w:ascii="宋体" w:hAnsi="宋体" w:eastAsia="宋体" w:cs="宋体"/>
          <w:color w:val="000000"/>
          <w:kern w:val="0"/>
          <w:sz w:val="24"/>
          <w:szCs w:val="24"/>
        </w:rPr>
        <w:t>和奇瑞汽车</w:t>
      </w:r>
      <w:r>
        <w:rPr>
          <w:rFonts w:hint="eastAsia" w:ascii="宋体" w:hAnsi="宋体" w:eastAsia="宋体" w:cs="宋体"/>
          <w:color w:val="000000"/>
          <w:kern w:val="0"/>
          <w:sz w:val="24"/>
          <w:szCs w:val="24"/>
          <w:lang w:val="en-US" w:eastAsia="zh-CN"/>
        </w:rPr>
        <w:t>的合作</w:t>
      </w:r>
      <w:r>
        <w:rPr>
          <w:rFonts w:hint="eastAsia" w:ascii="宋体" w:hAnsi="宋体" w:eastAsia="宋体" w:cs="宋体"/>
          <w:color w:val="000000"/>
          <w:kern w:val="0"/>
          <w:sz w:val="24"/>
          <w:szCs w:val="24"/>
        </w:rPr>
        <w:t>核心是‌基于AI的智能营销解决方案‌，主要聚焦在‌私域客户资产管理、全链路智能营销以及销售流程的数字化升级‌上。奇瑞汽车作为传统车企，正加速数字化转型，需要更智能的客户运营工具；珍岛集团则深耕数字化营销，其核心产品珍客CRM融合了AI技术，能提供从线索到转化的全周期管理。‌技术方案‌：珍岛提供‌SCRM系统‌，整合了‌Tforce AI技术‌和‌BI数据分析‌，实现客户洞察、销售流程重塑和信用风险评估。‌客户洞察‌：通过联系人图谱识别关键决策人，优化沟通效率。‌销售流程重塑‌：从线索获取到售后维护全生命周期管理，提升转化率。‌智能风控‌：预测客户支付风险，保障财务稳健。‌合作提升</w:t>
      </w:r>
      <w:r>
        <w:rPr>
          <w:rFonts w:hint="eastAsia" w:ascii="宋体" w:hAnsi="宋体" w:eastAsia="宋体" w:cs="宋体"/>
          <w:color w:val="000000"/>
          <w:kern w:val="0"/>
          <w:sz w:val="24"/>
          <w:szCs w:val="24"/>
          <w:lang w:val="en-US" w:eastAsia="zh-CN"/>
        </w:rPr>
        <w:t>了</w:t>
      </w:r>
      <w:r>
        <w:rPr>
          <w:rFonts w:hint="eastAsia" w:ascii="宋体" w:hAnsi="宋体" w:eastAsia="宋体" w:cs="宋体"/>
          <w:color w:val="000000"/>
          <w:kern w:val="0"/>
          <w:sz w:val="24"/>
          <w:szCs w:val="24"/>
        </w:rPr>
        <w:t>奇瑞新能源的‌运营效率‌、‌市场洞察力‌和‌销售业绩‌，同时降低媒介采购成本。该合作是奇瑞数字化转型的一部分，旨在通过AI技术实现营销精准化和管理智能化</w:t>
      </w:r>
      <w:r>
        <w:rPr>
          <w:rFonts w:hint="eastAsia" w:ascii="宋体" w:hAnsi="宋体" w:eastAsia="宋体" w:cs="宋体"/>
          <w:color w:val="000000"/>
          <w:kern w:val="0"/>
          <w:sz w:val="24"/>
          <w:szCs w:val="24"/>
          <w:lang w:eastAsia="zh-CN"/>
        </w:rPr>
        <w:t>。</w:t>
      </w:r>
    </w:p>
    <w:p w14:paraId="08697140">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5.项目说明</w:t>
      </w:r>
    </w:p>
    <w:p w14:paraId="4C011CF8">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【问题说明】</w:t>
      </w:r>
    </w:p>
    <w:p w14:paraId="2DC51CEF">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1、需至少覆盖2类典型</w:t>
      </w:r>
      <w:r>
        <w:rPr>
          <w:rFonts w:hint="eastAsia" w:ascii="宋体" w:hAnsi="宋体" w:eastAsia="宋体" w:cs="宋体"/>
          <w:color w:val="000000"/>
          <w:kern w:val="0"/>
          <w:sz w:val="24"/>
          <w:szCs w:val="24"/>
          <w:lang w:eastAsia="zh-CN"/>
        </w:rPr>
        <w:t>营销场景，</w:t>
      </w:r>
      <w:r>
        <w:rPr>
          <w:rFonts w:hint="eastAsia" w:ascii="宋体" w:hAnsi="宋体" w:eastAsia="宋体" w:cs="宋体"/>
          <w:color w:val="000000"/>
          <w:kern w:val="0"/>
          <w:sz w:val="24"/>
          <w:szCs w:val="24"/>
          <w:lang w:val="en-US" w:eastAsia="zh-CN"/>
        </w:rPr>
        <w:t>奇瑞旗下各类汽车型号品牌为主，也可以拓展国产其他汽车品牌营销方案</w:t>
      </w:r>
      <w:r>
        <w:rPr>
          <w:rFonts w:hint="eastAsia" w:ascii="宋体" w:hAnsi="宋体" w:eastAsia="宋体" w:cs="宋体"/>
          <w:color w:val="000000"/>
          <w:kern w:val="0"/>
          <w:sz w:val="24"/>
          <w:szCs w:val="24"/>
        </w:rPr>
        <w:t>（如</w:t>
      </w:r>
      <w:r>
        <w:rPr>
          <w:rFonts w:hint="eastAsia" w:ascii="宋体" w:hAnsi="宋体" w:eastAsia="宋体" w:cs="宋体"/>
          <w:color w:val="000000"/>
          <w:kern w:val="0"/>
          <w:sz w:val="24"/>
          <w:szCs w:val="24"/>
          <w:lang w:eastAsia="zh-CN"/>
        </w:rPr>
        <w:t>网站搭建</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eastAsia="zh-CN"/>
        </w:rPr>
        <w:t>短视频营销</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eastAsia="zh-CN"/>
        </w:rPr>
        <w:t>口碑传播等</w:t>
      </w:r>
      <w:r>
        <w:rPr>
          <w:rFonts w:hint="eastAsia" w:ascii="宋体" w:hAnsi="宋体" w:eastAsia="宋体" w:cs="宋体"/>
          <w:color w:val="000000"/>
          <w:kern w:val="0"/>
          <w:sz w:val="24"/>
          <w:szCs w:val="24"/>
          <w:lang w:val="en-US" w:eastAsia="zh-CN"/>
        </w:rPr>
        <w:t>其他场景都可以</w:t>
      </w:r>
      <w:r>
        <w:rPr>
          <w:rFonts w:hint="eastAsia" w:ascii="宋体" w:hAnsi="宋体" w:eastAsia="宋体" w:cs="宋体"/>
          <w:color w:val="000000"/>
          <w:kern w:val="0"/>
          <w:sz w:val="24"/>
          <w:szCs w:val="24"/>
        </w:rPr>
        <w:t>）。</w:t>
      </w:r>
    </w:p>
    <w:p w14:paraId="22C5B7D8">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hint="eastAsia" w:ascii="宋体" w:hAnsi="宋体" w:eastAsia="宋体" w:cs="宋体"/>
          <w:color w:val="000000"/>
          <w:kern w:val="0"/>
          <w:sz w:val="24"/>
          <w:szCs w:val="24"/>
          <w:lang w:eastAsia="zh-CN"/>
        </w:rPr>
        <w:t>基于行业数据及企业当下遇到的困境为企业制定一套运营策划案，详细描述场景及运营流程</w:t>
      </w:r>
      <w:r>
        <w:rPr>
          <w:rFonts w:hint="eastAsia" w:ascii="宋体" w:hAnsi="宋体" w:eastAsia="宋体" w:cs="宋体"/>
          <w:color w:val="000000"/>
          <w:kern w:val="0"/>
          <w:sz w:val="24"/>
          <w:szCs w:val="24"/>
        </w:rPr>
        <w:t>。</w:t>
      </w:r>
    </w:p>
    <w:p w14:paraId="6835D16C">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3、基于</w:t>
      </w:r>
      <w:r>
        <w:rPr>
          <w:rFonts w:hint="eastAsia" w:ascii="宋体" w:hAnsi="宋体" w:eastAsia="宋体" w:cs="宋体"/>
          <w:color w:val="000000"/>
          <w:kern w:val="0"/>
          <w:sz w:val="24"/>
          <w:szCs w:val="24"/>
          <w:lang w:val="en-US" w:eastAsia="zh-CN"/>
        </w:rPr>
        <w:t>迈富时</w:t>
      </w:r>
      <w:r>
        <w:rPr>
          <w:rFonts w:hint="eastAsia" w:ascii="宋体" w:hAnsi="宋体" w:eastAsia="宋体" w:cs="宋体"/>
          <w:color w:val="000000"/>
          <w:kern w:val="0"/>
          <w:sz w:val="24"/>
          <w:szCs w:val="24"/>
        </w:rPr>
        <w:t>数字营销平台完成</w:t>
      </w:r>
      <w:r>
        <w:rPr>
          <w:rFonts w:hint="eastAsia" w:ascii="宋体" w:hAnsi="宋体" w:eastAsia="宋体" w:cs="宋体"/>
          <w:color w:val="000000"/>
          <w:kern w:val="0"/>
          <w:sz w:val="24"/>
          <w:szCs w:val="24"/>
          <w:lang w:eastAsia="zh-CN"/>
        </w:rPr>
        <w:t>企业官网搭建实践及H5广告创意</w:t>
      </w:r>
      <w:r>
        <w:rPr>
          <w:rFonts w:hint="eastAsia" w:ascii="宋体" w:hAnsi="宋体" w:eastAsia="宋体" w:cs="宋体"/>
          <w:color w:val="000000"/>
          <w:kern w:val="0"/>
          <w:sz w:val="24"/>
          <w:szCs w:val="24"/>
          <w:lang w:val="en-US" w:eastAsia="zh-CN"/>
        </w:rPr>
        <w:t>等</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或者自行决定使用其他平台</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w:t>
      </w:r>
    </w:p>
    <w:p w14:paraId="0AC624D7">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【用户期望】</w:t>
      </w:r>
    </w:p>
    <w:p w14:paraId="008A180C">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本次赛题设计希望通过具有创新性、实用性的营销思路，通过</w:t>
      </w:r>
      <w:r>
        <w:rPr>
          <w:rFonts w:hint="eastAsia" w:ascii="宋体" w:hAnsi="宋体" w:eastAsia="宋体" w:cs="宋体"/>
          <w:color w:val="000000"/>
          <w:kern w:val="0"/>
          <w:sz w:val="24"/>
          <w:szCs w:val="24"/>
          <w:lang w:eastAsia="zh-CN"/>
        </w:rPr>
        <w:t>迈富时</w:t>
      </w:r>
      <w:r>
        <w:rPr>
          <w:rFonts w:hint="eastAsia" w:ascii="宋体" w:hAnsi="宋体" w:eastAsia="宋体" w:cs="宋体"/>
          <w:color w:val="000000"/>
          <w:kern w:val="0"/>
          <w:sz w:val="24"/>
          <w:szCs w:val="24"/>
        </w:rPr>
        <w:t>数字营销平台构建“用户-营销-供应链-反馈”全链路闭环模型，推动传统企业数字化转型从粗放式运营向精准化、智能化营销转型的全面需求，针对真实用户提出的新理念，从新技术融合、新模组集成、新机制应用等不同角度，输出能够帮助传统企业的创新设计营销方案。所提相关创意可以是对现有内容进行赋能升级，也可以是创造性提出新概念，对互动策划、概念方案，企业可投入相关资源进行合作转化。</w:t>
      </w:r>
    </w:p>
    <w:p w14:paraId="551848AB">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6.任务要求</w:t>
      </w:r>
    </w:p>
    <w:p w14:paraId="5BF69E60">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【技术要求与指标】</w:t>
      </w:r>
    </w:p>
    <w:p w14:paraId="6389522A">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为传统企业策划符合实际运营作业要求的内容展示（如市场调研、客户需求分析、平台选择、活动流程等</w:t>
      </w:r>
      <w:r>
        <w:rPr>
          <w:rFonts w:hint="eastAsia" w:ascii="宋体" w:hAnsi="宋体" w:eastAsia="宋体" w:cs="宋体"/>
          <w:color w:val="000000"/>
          <w:kern w:val="0"/>
          <w:sz w:val="24"/>
          <w:szCs w:val="24"/>
          <w:lang w:val="en-US" w:eastAsia="zh-CN"/>
        </w:rPr>
        <w:t>也可自行决定方案内容</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rPr>
        <w:t>。</w:t>
      </w:r>
    </w:p>
    <w:p w14:paraId="7373BFFA">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营销方案策划</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通过数据分析为企业制定一套可落地的营销方案</w:t>
      </w:r>
      <w:r>
        <w:rPr>
          <w:rFonts w:hint="eastAsia" w:ascii="宋体" w:hAnsi="宋体" w:eastAsia="宋体" w:cs="宋体"/>
          <w:color w:val="000000"/>
          <w:kern w:val="0"/>
          <w:sz w:val="24"/>
          <w:szCs w:val="24"/>
        </w:rPr>
        <w:t>；</w:t>
      </w:r>
    </w:p>
    <w:p w14:paraId="3921D1D6">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hint="eastAsia" w:ascii="宋体" w:hAnsi="宋体" w:eastAsia="宋体" w:cs="宋体"/>
          <w:color w:val="000000"/>
          <w:kern w:val="0"/>
          <w:sz w:val="24"/>
          <w:szCs w:val="24"/>
          <w:lang w:val="en-US" w:eastAsia="zh-CN"/>
        </w:rPr>
        <w:t>短视频运营：为企业制作一个具有传播价值的短视频</w:t>
      </w:r>
      <w:r>
        <w:rPr>
          <w:rFonts w:hint="eastAsia" w:ascii="宋体" w:hAnsi="宋体" w:eastAsia="宋体" w:cs="宋体"/>
          <w:color w:val="000000"/>
          <w:kern w:val="0"/>
          <w:sz w:val="24"/>
          <w:szCs w:val="24"/>
        </w:rPr>
        <w:t>；</w:t>
      </w:r>
    </w:p>
    <w:p w14:paraId="2C162FCC">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hint="eastAsia" w:ascii="宋体" w:hAnsi="宋体" w:eastAsia="宋体" w:cs="宋体"/>
          <w:color w:val="000000"/>
          <w:kern w:val="0"/>
          <w:sz w:val="24"/>
          <w:szCs w:val="24"/>
          <w:lang w:val="en-US" w:eastAsia="zh-CN"/>
        </w:rPr>
        <w:t>企业官网搭建</w:t>
      </w:r>
      <w:r>
        <w:rPr>
          <w:rFonts w:hint="eastAsia" w:ascii="宋体" w:hAnsi="宋体" w:eastAsia="宋体" w:cs="宋体"/>
          <w:color w:val="000000"/>
          <w:kern w:val="0"/>
          <w:sz w:val="24"/>
          <w:szCs w:val="24"/>
        </w:rPr>
        <w:t>：利用平台系统</w:t>
      </w:r>
      <w:r>
        <w:rPr>
          <w:rFonts w:hint="eastAsia" w:ascii="宋体" w:hAnsi="宋体" w:eastAsia="宋体" w:cs="宋体"/>
          <w:color w:val="000000"/>
          <w:kern w:val="0"/>
          <w:sz w:val="24"/>
          <w:szCs w:val="24"/>
          <w:lang w:val="en-US" w:eastAsia="zh-CN"/>
        </w:rPr>
        <w:t>为企业搭建一个具有品牌展示、产品展示、活动宣传、用户信息收集功能的官网</w:t>
      </w:r>
      <w:r>
        <w:rPr>
          <w:rFonts w:hint="eastAsia" w:ascii="宋体" w:hAnsi="宋体" w:eastAsia="宋体" w:cs="宋体"/>
          <w:color w:val="000000"/>
          <w:kern w:val="0"/>
          <w:sz w:val="24"/>
          <w:szCs w:val="24"/>
        </w:rPr>
        <w:t>。</w:t>
      </w:r>
    </w:p>
    <w:p w14:paraId="64EB748D">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000000"/>
          <w:kern w:val="0"/>
          <w:sz w:val="24"/>
          <w:szCs w:val="24"/>
        </w:rPr>
      </w:pPr>
    </w:p>
    <w:p w14:paraId="212B1471">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【提交材料】</w:t>
      </w:r>
    </w:p>
    <w:p w14:paraId="29555588">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（1）项目概要介绍；</w:t>
      </w:r>
    </w:p>
    <w:p w14:paraId="78EA63B7">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（2）项目简介 PPT;</w:t>
      </w:r>
    </w:p>
    <w:p w14:paraId="0025AC2F">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（3）项目详细方案；</w:t>
      </w:r>
    </w:p>
    <w:p w14:paraId="15061ED5">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（4）项目演示视频（展示</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市场分析</w:t>
      </w:r>
      <w:r>
        <w:rPr>
          <w:rFonts w:hint="eastAsia" w:ascii="宋体" w:hAnsi="宋体" w:eastAsia="宋体" w:cs="宋体"/>
          <w:color w:val="000000"/>
          <w:kern w:val="0"/>
          <w:sz w:val="24"/>
          <w:szCs w:val="24"/>
        </w:rPr>
        <w:t>-营销-反馈”闭环</w:t>
      </w:r>
      <w:r>
        <w:rPr>
          <w:rFonts w:hint="eastAsia" w:ascii="宋体" w:hAnsi="宋体" w:eastAsia="宋体" w:cs="宋体"/>
          <w:color w:val="000000"/>
          <w:kern w:val="0"/>
          <w:sz w:val="24"/>
          <w:szCs w:val="24"/>
        </w:rPr>
        <w:t>）；</w:t>
      </w:r>
    </w:p>
    <w:p w14:paraId="6B781422">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（5）</w:t>
      </w:r>
      <w:r>
        <w:rPr>
          <w:rFonts w:hint="eastAsia" w:ascii="宋体" w:hAnsi="宋体" w:eastAsia="宋体" w:cs="宋体"/>
          <w:color w:val="000000"/>
          <w:kern w:val="0"/>
          <w:sz w:val="24"/>
          <w:szCs w:val="24"/>
          <w:lang w:val="en-US" w:eastAsia="zh-CN"/>
        </w:rPr>
        <w:t>短视频剪辑作品</w:t>
      </w:r>
    </w:p>
    <w:p w14:paraId="3C9E0D0B">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（6）网站作品</w:t>
      </w:r>
      <w:r>
        <w:rPr>
          <w:rFonts w:hint="eastAsia" w:ascii="宋体" w:hAnsi="宋体" w:eastAsia="宋体" w:cs="宋体"/>
          <w:color w:val="000000"/>
          <w:kern w:val="0"/>
          <w:sz w:val="24"/>
          <w:szCs w:val="24"/>
        </w:rPr>
        <w:t>：</w:t>
      </w:r>
    </w:p>
    <w:p w14:paraId="0DB01A54">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7</w:t>
      </w:r>
      <w:r>
        <w:rPr>
          <w:rFonts w:hint="eastAsia" w:ascii="宋体" w:hAnsi="宋体" w:eastAsia="宋体" w:cs="宋体"/>
          <w:color w:val="000000"/>
          <w:kern w:val="0"/>
          <w:sz w:val="24"/>
          <w:szCs w:val="24"/>
        </w:rPr>
        <w:t>）团队自愿提交的其他补充材料。</w:t>
      </w:r>
    </w:p>
    <w:p w14:paraId="116E90C3">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【任务清单】</w:t>
      </w:r>
    </w:p>
    <w:p w14:paraId="74A3C166">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（1）现有</w:t>
      </w:r>
      <w:r>
        <w:rPr>
          <w:rFonts w:hint="eastAsia" w:ascii="宋体" w:hAnsi="宋体" w:eastAsia="宋体" w:cs="宋体"/>
          <w:color w:val="000000"/>
          <w:kern w:val="0"/>
          <w:sz w:val="24"/>
          <w:szCs w:val="24"/>
          <w:lang w:val="en-US" w:eastAsia="zh-CN"/>
        </w:rPr>
        <w:t>营销</w:t>
      </w:r>
      <w:r>
        <w:rPr>
          <w:rFonts w:hint="eastAsia" w:ascii="宋体" w:hAnsi="宋体" w:eastAsia="宋体" w:cs="宋体"/>
          <w:color w:val="000000"/>
          <w:kern w:val="0"/>
          <w:sz w:val="24"/>
          <w:szCs w:val="24"/>
        </w:rPr>
        <w:t>方案研究及用户需求研究；</w:t>
      </w:r>
    </w:p>
    <w:p w14:paraId="496B2773">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（2）可应用技术挖掘与</w:t>
      </w:r>
      <w:r>
        <w:rPr>
          <w:rFonts w:hint="eastAsia" w:ascii="宋体" w:hAnsi="宋体" w:eastAsia="宋体" w:cs="宋体"/>
          <w:color w:val="000000"/>
          <w:kern w:val="0"/>
          <w:sz w:val="24"/>
          <w:szCs w:val="24"/>
        </w:rPr>
        <w:t>内容</w:t>
      </w:r>
      <w:r>
        <w:rPr>
          <w:rFonts w:hint="eastAsia" w:ascii="宋体" w:hAnsi="宋体" w:eastAsia="宋体" w:cs="宋体"/>
          <w:color w:val="000000"/>
          <w:kern w:val="0"/>
          <w:sz w:val="24"/>
          <w:szCs w:val="24"/>
        </w:rPr>
        <w:t>设计方向确定；</w:t>
      </w:r>
    </w:p>
    <w:p w14:paraId="5C88B905">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（3）根据合适技术与模组产出可行设计方案；</w:t>
      </w:r>
    </w:p>
    <w:p w14:paraId="762EFE63">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（4）从</w:t>
      </w:r>
      <w:r>
        <w:rPr>
          <w:rFonts w:hint="eastAsia" w:ascii="宋体" w:hAnsi="宋体" w:eastAsia="宋体" w:cs="宋体"/>
          <w:color w:val="000000"/>
          <w:kern w:val="0"/>
          <w:sz w:val="24"/>
          <w:szCs w:val="24"/>
          <w:lang w:val="en-US" w:eastAsia="zh-CN"/>
        </w:rPr>
        <w:t>营销</w:t>
      </w:r>
      <w:r>
        <w:rPr>
          <w:rFonts w:hint="eastAsia" w:ascii="宋体" w:hAnsi="宋体" w:eastAsia="宋体" w:cs="宋体"/>
          <w:color w:val="000000"/>
          <w:kern w:val="0"/>
          <w:sz w:val="24"/>
          <w:szCs w:val="24"/>
        </w:rPr>
        <w:t>方案到</w:t>
      </w:r>
      <w:r>
        <w:rPr>
          <w:rFonts w:hint="eastAsia" w:ascii="宋体" w:hAnsi="宋体" w:eastAsia="宋体" w:cs="宋体"/>
          <w:color w:val="000000"/>
          <w:kern w:val="0"/>
          <w:sz w:val="24"/>
          <w:szCs w:val="24"/>
          <w:lang w:val="en-US" w:eastAsia="zh-CN"/>
        </w:rPr>
        <w:t>场景</w:t>
      </w:r>
      <w:r>
        <w:rPr>
          <w:rFonts w:hint="eastAsia" w:ascii="宋体" w:hAnsi="宋体" w:eastAsia="宋体" w:cs="宋体"/>
          <w:color w:val="000000"/>
          <w:kern w:val="0"/>
          <w:sz w:val="24"/>
          <w:szCs w:val="24"/>
        </w:rPr>
        <w:t>应用，结合实际场景说明合理性和可行性。</w:t>
      </w:r>
    </w:p>
    <w:p w14:paraId="598CE01C">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79FDC7F7">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3FC103D8">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174E38BC">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056CBCB9">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19A4948F">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36065A64">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23652A7E">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52FED37A">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025FDF48">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p w14:paraId="3AB0A49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000000"/>
          <w:kern w:val="0"/>
          <w:sz w:val="24"/>
          <w:szCs w:val="24"/>
        </w:rPr>
      </w:pPr>
      <w:bookmarkStart w:id="3" w:name="_GoBack"/>
      <w:r>
        <w:rPr>
          <w:rFonts w:hint="eastAsia" w:ascii="宋体" w:hAnsi="宋体" w:eastAsia="宋体" w:cs="宋体"/>
          <w:b/>
          <w:bCs/>
          <w:color w:val="000000"/>
          <w:kern w:val="0"/>
          <w:sz w:val="24"/>
          <w:szCs w:val="24"/>
          <w:lang w:val="en-US" w:eastAsia="zh-CN"/>
        </w:rPr>
        <w:t xml:space="preserve">命题5   </w:t>
      </w:r>
      <w:r>
        <w:rPr>
          <w:rFonts w:hint="eastAsia" w:ascii="宋体" w:hAnsi="宋体" w:eastAsia="宋体" w:cs="宋体"/>
          <w:b/>
          <w:bCs/>
          <w:color w:val="000000"/>
          <w:kern w:val="0"/>
          <w:sz w:val="24"/>
          <w:szCs w:val="24"/>
        </w:rPr>
        <w:t>数据要素视角下的数字贸易创新创业项目设计与运营</w:t>
      </w:r>
    </w:p>
    <w:bookmarkEnd w:id="3"/>
    <w:p w14:paraId="1A7D85C9">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1.命题方向</w:t>
      </w:r>
    </w:p>
    <w:p w14:paraId="1F27F78F">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数字贸易类</w:t>
      </w:r>
    </w:p>
    <w:p w14:paraId="402AC94F">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2.题目类别</w:t>
      </w:r>
    </w:p>
    <w:p w14:paraId="751920B0">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应用</w:t>
      </w:r>
      <w:r>
        <w:rPr>
          <w:rFonts w:hint="eastAsia" w:ascii="宋体" w:hAnsi="宋体" w:eastAsia="宋体" w:cs="宋体"/>
          <w:color w:val="000000"/>
          <w:kern w:val="0"/>
          <w:sz w:val="24"/>
          <w:szCs w:val="24"/>
        </w:rPr>
        <w:t>类</w:t>
      </w:r>
    </w:p>
    <w:p w14:paraId="36AEE11C">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3.题目名称</w:t>
      </w:r>
    </w:p>
    <w:p w14:paraId="43DCEDE5">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数据要素视角下的数字贸易创新创业项目设计与运营</w:t>
      </w:r>
    </w:p>
    <w:p w14:paraId="433E85D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4.背景说明</w:t>
      </w:r>
    </w:p>
    <w:p w14:paraId="6AD6362E">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【整体背景】</w:t>
      </w:r>
    </w:p>
    <w:p w14:paraId="7181CE2D">
      <w:pPr>
        <w:keepNext w:val="0"/>
        <w:keepLines w:val="0"/>
        <w:pageBreakBefore w:val="0"/>
        <w:widowControl/>
        <w:kinsoku/>
        <w:wordWrap/>
        <w:overflowPunct/>
        <w:topLinePunct w:val="0"/>
        <w:autoSpaceDE/>
        <w:autoSpaceDN/>
        <w:bidi w:val="0"/>
        <w:adjustRightInd/>
        <w:snapToGrid/>
        <w:spacing w:line="500" w:lineRule="exact"/>
        <w:ind w:firstLine="482"/>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在数字经济深度发展的今天，数据已成为新型生产要素，贯穿数字贸易全链条，深刻改变着贸易的方式、效率与格局。</w:t>
      </w:r>
      <w:r>
        <w:rPr>
          <w:rFonts w:hint="eastAsia" w:ascii="宋体" w:hAnsi="宋体" w:eastAsia="宋体" w:cs="宋体"/>
          <w:color w:val="000000"/>
          <w:kern w:val="0"/>
          <w:sz w:val="24"/>
          <w:szCs w:val="24"/>
        </w:rPr>
        <w:t xml:space="preserve">2024年1月，国家数据局等17部门联合印发《“数据要素×”三年行动计划（2024—2026年）》，拟以制度建设为主线，陆续推出数据产权、数据流通、收益分配、安全治理、公共数据开发利用、企业数据开发利用、数字经济高质量发展、数据基础设施建设指引等八项制度文件，加大政策供给。2026年2月国家数据局等部门发布关于培育数据流通服务机构，加快推进数据要素市场化价值化的意见，明确提出到2029年底，数据流通服务机构能力显著提升，流通交易形态更加多元，数据产品和服务更加丰富，各类主体供数用数意愿持续增强，全社会数据流通利用水平明显提高。 </w:t>
      </w:r>
    </w:p>
    <w:p w14:paraId="31CBF7EB">
      <w:pPr>
        <w:keepNext w:val="0"/>
        <w:keepLines w:val="0"/>
        <w:pageBreakBefore w:val="0"/>
        <w:widowControl/>
        <w:kinsoku/>
        <w:wordWrap/>
        <w:overflowPunct/>
        <w:topLinePunct w:val="0"/>
        <w:autoSpaceDE/>
        <w:autoSpaceDN/>
        <w:bidi w:val="0"/>
        <w:adjustRightInd/>
        <w:snapToGrid/>
        <w:spacing w:line="500" w:lineRule="exact"/>
        <w:ind w:firstLine="482"/>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基于数据要素视角开展数字贸易创新创业，核心是激活数据要素潜能，推动数据与贸易场景深度融合，破解传统贸易痛点，构建“数据驱动、创新</w:t>
      </w:r>
      <w:r>
        <w:rPr>
          <w:rFonts w:hint="eastAsia" w:ascii="宋体" w:hAnsi="宋体" w:eastAsia="宋体" w:cs="宋体"/>
          <w:color w:val="000000"/>
          <w:kern w:val="0"/>
          <w:sz w:val="24"/>
          <w:szCs w:val="24"/>
        </w:rPr>
        <w:t>引</w:t>
      </w:r>
      <w:r>
        <w:rPr>
          <w:rFonts w:hint="eastAsia" w:ascii="宋体" w:hAnsi="宋体" w:eastAsia="宋体" w:cs="宋体"/>
          <w:color w:val="000000"/>
          <w:kern w:val="0"/>
          <w:sz w:val="24"/>
          <w:szCs w:val="24"/>
        </w:rPr>
        <w:t>领、合规可控、生态协同”的创业模式。</w:t>
      </w:r>
      <w:r>
        <w:rPr>
          <w:rFonts w:hint="eastAsia" w:ascii="宋体" w:hAnsi="宋体" w:eastAsia="宋体" w:cs="宋体"/>
          <w:color w:val="000000"/>
          <w:kern w:val="0"/>
          <w:sz w:val="24"/>
          <w:szCs w:val="24"/>
        </w:rPr>
        <w:t>本命题旨在通过数字贸易实践平台构建“对接订购、支付结算、履约交付”三大关键贸易业务，以“贸易方式数字化” 与“贸易对象数字化”为核心特征，推动跨境电商企业和出海企业在贸易市场洞察、数字营销推广、跨境数字支付、数据决策支持、数字合规风控等方面的专业能力提升，为创业者、孵化机构提供可落地的实践指引，助力培育具有核心竞争力的数字贸易创新主体，推动数字贸易高质量发展。</w:t>
      </w:r>
    </w:p>
    <w:p w14:paraId="593516AE">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【公司背景】</w:t>
      </w:r>
    </w:p>
    <w:p w14:paraId="009C1005">
      <w:pPr>
        <w:keepNext w:val="0"/>
        <w:keepLines w:val="0"/>
        <w:pageBreakBefore w:val="0"/>
        <w:widowControl/>
        <w:kinsoku/>
        <w:wordWrap/>
        <w:overflowPunct/>
        <w:topLinePunct w:val="0"/>
        <w:autoSpaceDE/>
        <w:autoSpaceDN/>
        <w:bidi w:val="0"/>
        <w:adjustRightInd/>
        <w:snapToGrid/>
        <w:spacing w:line="500" w:lineRule="exact"/>
        <w:ind w:firstLine="482"/>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新道科技股份有限公司（以下简称“新道科技”，证券代码833694）成立于2011年，是用友集团重要成员企业。作为中国领先的数智化人才培养服务提供商，新道科技深耕高等教育和职业教育，专注新商科、新工科、社培认证三大领域，携手院校升维教育科技、深化产教融合，推进教育数智化，推动数智化人才培养。</w:t>
      </w:r>
    </w:p>
    <w:p w14:paraId="5F83AB4C">
      <w:pPr>
        <w:keepNext w:val="0"/>
        <w:keepLines w:val="0"/>
        <w:pageBreakBefore w:val="0"/>
        <w:widowControl/>
        <w:kinsoku/>
        <w:wordWrap/>
        <w:overflowPunct/>
        <w:topLinePunct w:val="0"/>
        <w:autoSpaceDE/>
        <w:autoSpaceDN/>
        <w:bidi w:val="0"/>
        <w:adjustRightInd/>
        <w:snapToGrid/>
        <w:spacing w:line="500" w:lineRule="exact"/>
        <w:ind w:firstLine="482"/>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15年来，新道科技致力于把数智产业融入校园，依托用友丰富产业资源、场景、案例和强大技术优势，持续深化产教融合、校企合作，为高等院校和职业院校提供数智财经、新工科、数智人力、数智营销、数智电商、数智供应链、数字经济、数字金融领域的综合教育产品与解决方案，携手院校构建产教协同育人新生态，加快教育数智化转型，培养数智化人才，推动教育高质量发展。</w:t>
      </w:r>
    </w:p>
    <w:p w14:paraId="15F386DC">
      <w:pPr>
        <w:keepNext w:val="0"/>
        <w:keepLines w:val="0"/>
        <w:pageBreakBefore w:val="0"/>
        <w:widowControl/>
        <w:kinsoku/>
        <w:wordWrap/>
        <w:overflowPunct/>
        <w:topLinePunct w:val="0"/>
        <w:autoSpaceDE/>
        <w:autoSpaceDN/>
        <w:bidi w:val="0"/>
        <w:adjustRightInd/>
        <w:snapToGrid/>
        <w:spacing w:line="500" w:lineRule="exact"/>
        <w:ind w:firstLine="482"/>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目前，新道科技与全国超5900所院校及社会机构开展合作，携手院校共建实践教学基地超10000个、共建数智产业学院超500所，培养学生/学员超780万人，培训教学师资25万人次，联合出版教材超1200本，合作共建课程360门</w:t>
      </w:r>
      <w:r>
        <w:rPr>
          <w:rFonts w:hint="eastAsia" w:ascii="宋体" w:hAnsi="宋体" w:eastAsia="宋体" w:cs="宋体"/>
          <w:color w:val="000000" w:themeColor="text1"/>
          <w:kern w:val="0"/>
          <w:sz w:val="24"/>
          <w:szCs w:val="24"/>
          <w14:textFill>
            <w14:solidFill>
              <w14:schemeClr w14:val="tx1"/>
            </w14:solidFill>
          </w14:textFill>
        </w:rPr>
        <w:t>。</w:t>
      </w:r>
    </w:p>
    <w:p w14:paraId="304726A7">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【业务背景】</w:t>
      </w:r>
    </w:p>
    <w:p w14:paraId="6B519B5E">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以数据要素为核心生产资料，以数字技术为支撑，以贸易场景为载体，</w:t>
      </w:r>
      <w:r>
        <w:rPr>
          <w:rFonts w:hint="eastAsia" w:ascii="宋体" w:hAnsi="宋体" w:eastAsia="宋体" w:cs="宋体"/>
          <w:color w:val="000000"/>
          <w:kern w:val="0"/>
          <w:sz w:val="24"/>
          <w:szCs w:val="24"/>
        </w:rPr>
        <w:t>通过数字产业化与产业数字化双轮驱动，贯通贸易的主体、渠道与对象三大核心要素，运用大数据和人工智能技术实现“对接订购、支付结算、履约交付” 三大关键贸易业务以及数字贸易中的关键业务流程，包括市场分析、业务运营管理、客户关系管理等。核心是让数据从“资源”转化为“资产”，通过数据精准匹配供需、优化贸易流程、降低交易成本、创新贸易形态，打造差异化竞争优势，破解传统数字贸易中数据碎片化、流通不畅、价值挖掘不足、合规风险突出等痛点，能够运用创新思维提出解决方案，提升数字贸易运行效率，具备促进数字经济产业变革的能力。</w:t>
      </w:r>
    </w:p>
    <w:p w14:paraId="1F20FFD9">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5.项目说明</w:t>
      </w:r>
    </w:p>
    <w:p w14:paraId="408E1464">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【问题说明】</w:t>
      </w:r>
    </w:p>
    <w:p w14:paraId="61E07F8C">
      <w:pPr>
        <w:keepNext w:val="0"/>
        <w:keepLines w:val="0"/>
        <w:pageBreakBefore w:val="0"/>
        <w:widowControl/>
        <w:kinsoku/>
        <w:wordWrap/>
        <w:overflowPunct/>
        <w:topLinePunct w:val="0"/>
        <w:autoSpaceDE/>
        <w:autoSpaceDN/>
        <w:bidi w:val="0"/>
        <w:adjustRightInd/>
        <w:snapToGrid/>
        <w:spacing w:line="500" w:lineRule="exact"/>
        <w:ind w:firstLine="482"/>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1、需从数字订购贸易、数字产品贸易、数字服务贸易和数字技术贸易细分领域中任选其一，结合数据要素的应用场景与数字贸易发展趋势，聚焦数据价值转化的核心环节，设计具有可行性的创新创业项目。</w:t>
      </w:r>
    </w:p>
    <w:p w14:paraId="01B396BE">
      <w:pPr>
        <w:keepNext w:val="0"/>
        <w:keepLines w:val="0"/>
        <w:pageBreakBefore w:val="0"/>
        <w:widowControl/>
        <w:kinsoku/>
        <w:wordWrap/>
        <w:overflowPunct/>
        <w:topLinePunct w:val="0"/>
        <w:autoSpaceDE/>
        <w:autoSpaceDN/>
        <w:bidi w:val="0"/>
        <w:adjustRightInd/>
        <w:snapToGrid/>
        <w:spacing w:line="500" w:lineRule="exact"/>
        <w:ind w:firstLine="482"/>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需基于背景案例和数据运用数字化工具和数字平台进行跨境交易，包括交付、物流和税务处理等，为企业量身定制一套运营策划方案，并能够运用AIGC等数字化工具进行有效的市场推广和品牌建设，详细介绍和说明业务场景及运营流程。</w:t>
      </w:r>
    </w:p>
    <w:p w14:paraId="2A3AE5FE">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3、需基于新道数字贸易实践平台工具和逻辑方法具体构建和设计方案文档，规划实施路径。</w:t>
      </w:r>
    </w:p>
    <w:p w14:paraId="46441739">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【用户期望】</w:t>
      </w:r>
    </w:p>
    <w:p w14:paraId="0CE1C23A">
      <w:pPr>
        <w:keepNext w:val="0"/>
        <w:keepLines w:val="0"/>
        <w:pageBreakBefore w:val="0"/>
        <w:widowControl/>
        <w:kinsoku/>
        <w:wordWrap/>
        <w:overflowPunct/>
        <w:topLinePunct w:val="0"/>
        <w:autoSpaceDE/>
        <w:autoSpaceDN/>
        <w:bidi w:val="0"/>
        <w:adjustRightInd/>
        <w:snapToGrid/>
        <w:spacing w:line="500" w:lineRule="exact"/>
        <w:ind w:firstLine="482"/>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本次</w:t>
      </w:r>
      <w:r>
        <w:rPr>
          <w:rFonts w:hint="eastAsia" w:ascii="宋体" w:hAnsi="宋体" w:eastAsia="宋体" w:cs="宋体"/>
          <w:color w:val="000000"/>
          <w:kern w:val="0"/>
          <w:sz w:val="24"/>
          <w:szCs w:val="24"/>
        </w:rPr>
        <w:t>赛题</w:t>
      </w:r>
      <w:r>
        <w:rPr>
          <w:rFonts w:hint="eastAsia" w:ascii="宋体" w:hAnsi="宋体" w:eastAsia="宋体" w:cs="宋体"/>
          <w:color w:val="000000"/>
          <w:kern w:val="0"/>
          <w:sz w:val="24"/>
          <w:szCs w:val="24"/>
        </w:rPr>
        <w:t>设计希望通过</w:t>
      </w:r>
      <w:r>
        <w:rPr>
          <w:rFonts w:hint="eastAsia" w:ascii="宋体" w:hAnsi="宋体" w:eastAsia="宋体" w:cs="宋体"/>
          <w:color w:val="000000"/>
          <w:kern w:val="0"/>
          <w:sz w:val="24"/>
          <w:szCs w:val="24"/>
        </w:rPr>
        <w:t>兼顾技术创新性与市场落地性的设计思路，聚焦数字经济时代数字技术与贸易理论的深度融合，依托新道科技数字贸易实践平台精心设计的数字订购贸易、数字产品贸易、数字服务贸易和数字技术贸易典型案例场景，体现数据要素视角下的数字经济“贸易方式数字化”和“贸易对象数字化”鲜明特征，从而为跨境电商企业和出海企业从粗放式运营向数据驱动、数智赋能精细化转型升级。针对数字贸易不同细分领域用户在面对新的商业模式、业务模式与市场机会带来的机遇与挑战，从新知识、新技术、新趋势等不同角度输出能够帮助跨境电商和出海企业创新设计运营方案，使其能够快速适应数字贸易领域的快速迭代与发展变化。</w:t>
      </w:r>
      <w:r>
        <w:rPr>
          <w:rFonts w:hint="eastAsia" w:ascii="宋体" w:hAnsi="宋体" w:eastAsia="宋体" w:cs="宋体"/>
          <w:color w:val="000000"/>
          <w:kern w:val="0"/>
          <w:sz w:val="24"/>
          <w:szCs w:val="24"/>
        </w:rPr>
        <w:t>所提相关创意可以是对现有</w:t>
      </w:r>
      <w:r>
        <w:rPr>
          <w:rFonts w:hint="eastAsia" w:ascii="宋体" w:hAnsi="宋体" w:eastAsia="宋体" w:cs="宋体"/>
          <w:color w:val="000000"/>
          <w:kern w:val="0"/>
          <w:sz w:val="24"/>
          <w:szCs w:val="24"/>
        </w:rPr>
        <w:t>业务模式</w:t>
      </w:r>
      <w:r>
        <w:rPr>
          <w:rFonts w:hint="eastAsia" w:ascii="宋体" w:hAnsi="宋体" w:eastAsia="宋体" w:cs="宋体"/>
          <w:color w:val="000000"/>
          <w:kern w:val="0"/>
          <w:sz w:val="24"/>
          <w:szCs w:val="24"/>
        </w:rPr>
        <w:t>进行赋能升级，也可以是创造性提出新概念，对优秀技术、概念方案，企业可投入相关资源进行合作转化</w:t>
      </w:r>
      <w:r>
        <w:rPr>
          <w:rFonts w:hint="eastAsia" w:ascii="宋体" w:hAnsi="宋体" w:eastAsia="宋体" w:cs="宋体"/>
          <w:color w:val="000000"/>
          <w:kern w:val="0"/>
          <w:sz w:val="24"/>
          <w:szCs w:val="24"/>
        </w:rPr>
        <w:t>，进一步推进商业变现。</w:t>
      </w:r>
    </w:p>
    <w:p w14:paraId="5B5DB372">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6.任务要求</w:t>
      </w:r>
    </w:p>
    <w:p w14:paraId="7DFFFED1">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【开发说明】</w:t>
      </w:r>
    </w:p>
    <w:p w14:paraId="562C6EBB">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参赛团队需基于大数据、人工智能等数字化新技术，依托新道科技数字贸易实践平台设计并开发一个综合性的数字贸易解决方案，体现数字贸易中的关键业务流程，包括市场分析、业务运营管理、客户关系管理等，并能够运用数字工具进行有效的市场推广和品牌建设，提升数字贸易的竞争力。设计方案需要考虑市场差异化竞争及使用创新性、市场落地性。</w:t>
      </w:r>
    </w:p>
    <w:p w14:paraId="42D95DD9">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【技术要求与指标】</w:t>
      </w:r>
    </w:p>
    <w:p w14:paraId="0471D008">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从平台提供的数字订购贸易、数字产品贸易、数字服务贸易和数字技术贸易典型数字贸易案例中任选其一为蓝本具体设计解决方案，包括但不限于业务描述、对接订购、支付结算、履约交付等核心内容。 </w:t>
      </w:r>
    </w:p>
    <w:p w14:paraId="41F85BB6">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（1）业务描述：包括项目情景、宏观、中观、微观分析，明确企业开展数字贸易中的痛点与难点；</w:t>
      </w:r>
    </w:p>
    <w:p w14:paraId="2FEF7571">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（2）对接订购：利用平台系统进行市场环境分析、客户画像分析、市场竞争态势分析、产品定价、数字营销、贸易谈判等关键流程，呈现具体策略与规划；</w:t>
      </w:r>
    </w:p>
    <w:p w14:paraId="0A0A181E">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（3）支付结算：利用平台具体设计结算策略、跨境收款汇率风险对冲策略国际支付渠道选择等核心内容；</w:t>
      </w:r>
    </w:p>
    <w:p w14:paraId="51F0DB84">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（4）履约交付：利用平台具体设计采购下单、订单发货和进出口报关电子凭证等具体内容以及风险防范、客户服务管理等内容。 </w:t>
      </w:r>
    </w:p>
    <w:p w14:paraId="09E4673F">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【提交材料】</w:t>
      </w:r>
    </w:p>
    <w:p w14:paraId="1869FB98">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（1）项目概要介绍；</w:t>
      </w:r>
    </w:p>
    <w:p w14:paraId="30ACCB72">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（2）项目简介PPT</w:t>
      </w:r>
      <w:r>
        <w:rPr>
          <w:rFonts w:hint="eastAsia" w:ascii="宋体" w:hAnsi="宋体" w:eastAsia="宋体" w:cs="宋体"/>
          <w:color w:val="000000"/>
          <w:kern w:val="0"/>
          <w:sz w:val="24"/>
          <w:szCs w:val="24"/>
        </w:rPr>
        <w:t>；</w:t>
      </w:r>
    </w:p>
    <w:p w14:paraId="71D77ACE">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（3）项目详细方案；</w:t>
      </w:r>
    </w:p>
    <w:p w14:paraId="2CA16FEB">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（4）项目演示视频（展示</w:t>
      </w:r>
      <w:r>
        <w:rPr>
          <w:rFonts w:hint="eastAsia" w:ascii="宋体" w:hAnsi="宋体" w:eastAsia="宋体" w:cs="宋体"/>
          <w:color w:val="000000"/>
          <w:kern w:val="0"/>
          <w:sz w:val="24"/>
          <w:szCs w:val="24"/>
        </w:rPr>
        <w:t>“项目导入-业务场景-对接订购-支付结算-履约交付”闭环</w:t>
      </w:r>
      <w:r>
        <w:rPr>
          <w:rFonts w:hint="eastAsia" w:ascii="宋体" w:hAnsi="宋体" w:eastAsia="宋体" w:cs="宋体"/>
          <w:color w:val="000000"/>
          <w:kern w:val="0"/>
          <w:sz w:val="24"/>
          <w:szCs w:val="24"/>
        </w:rPr>
        <w:t>）；</w:t>
      </w:r>
    </w:p>
    <w:p w14:paraId="35830961">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（5）企业要求提交的材料：</w:t>
      </w:r>
    </w:p>
    <w:p w14:paraId="57D6CFF5">
      <w:pPr>
        <w:keepNext w:val="0"/>
        <w:keepLines w:val="0"/>
        <w:pageBreakBefore w:val="0"/>
        <w:widowControl/>
        <w:kinsoku/>
        <w:wordWrap/>
        <w:overflowPunct/>
        <w:topLinePunct w:val="0"/>
        <w:autoSpaceDE/>
        <w:autoSpaceDN/>
        <w:bidi w:val="0"/>
        <w:adjustRightInd/>
        <w:snapToGrid/>
        <w:spacing w:line="500" w:lineRule="exact"/>
        <w:ind w:firstLine="113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①项目前期研究报告；</w:t>
      </w:r>
    </w:p>
    <w:p w14:paraId="308D20E3">
      <w:pPr>
        <w:keepNext w:val="0"/>
        <w:keepLines w:val="0"/>
        <w:pageBreakBefore w:val="0"/>
        <w:widowControl/>
        <w:kinsoku/>
        <w:wordWrap/>
        <w:overflowPunct/>
        <w:topLinePunct w:val="0"/>
        <w:autoSpaceDE/>
        <w:autoSpaceDN/>
        <w:bidi w:val="0"/>
        <w:adjustRightInd/>
        <w:snapToGrid/>
        <w:spacing w:line="500" w:lineRule="exact"/>
        <w:ind w:firstLine="113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②</w:t>
      </w:r>
      <w:r>
        <w:rPr>
          <w:rFonts w:hint="eastAsia" w:ascii="宋体" w:hAnsi="宋体" w:eastAsia="宋体" w:cs="宋体"/>
          <w:color w:val="000000"/>
          <w:kern w:val="0"/>
          <w:sz w:val="24"/>
          <w:szCs w:val="24"/>
        </w:rPr>
        <w:t>项目总结与创新应用思考报告</w:t>
      </w:r>
      <w:r>
        <w:rPr>
          <w:rFonts w:hint="eastAsia" w:ascii="宋体" w:hAnsi="宋体" w:eastAsia="宋体" w:cs="宋体"/>
          <w:color w:val="000000"/>
          <w:kern w:val="0"/>
          <w:sz w:val="24"/>
          <w:szCs w:val="24"/>
        </w:rPr>
        <w:t>。</w:t>
      </w:r>
    </w:p>
    <w:p w14:paraId="224DD969">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（6）团队自愿提交的其他补充材料。</w:t>
      </w:r>
    </w:p>
    <w:p w14:paraId="3A6E9060">
      <w:pPr>
        <w:keepNext w:val="0"/>
        <w:keepLines w:val="0"/>
        <w:pageBreakBefore w:val="0"/>
        <w:widowControl/>
        <w:kinsoku/>
        <w:wordWrap/>
        <w:overflowPunct/>
        <w:topLinePunct w:val="0"/>
        <w:autoSpaceDE/>
        <w:autoSpaceDN/>
        <w:bidi w:val="0"/>
        <w:adjustRightInd/>
        <w:snapToGrid/>
        <w:spacing w:line="500" w:lineRule="exact"/>
        <w:ind w:firstLine="484"/>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【任务清单】</w:t>
      </w:r>
    </w:p>
    <w:p w14:paraId="5C19BAB9">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（1）对现有跨境电商企业和出海企业业务模式、业务流程、国际结算、履约交付等环节进行深入研究，分析其存在的问题与不足；</w:t>
      </w:r>
    </w:p>
    <w:p w14:paraId="6104C33B">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hint="eastAsia" w:ascii="宋体" w:hAnsi="宋体" w:eastAsia="宋体" w:cs="宋体"/>
          <w:color w:val="000000"/>
          <w:kern w:val="0"/>
          <w:sz w:val="24"/>
          <w:szCs w:val="24"/>
        </w:rPr>
        <w:t>结合数字贸易实践平台工具和案例场景明确案例报告主体内容设计方向和需求研究；</w:t>
      </w:r>
    </w:p>
    <w:p w14:paraId="51D78DBC">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r>
        <w:rPr>
          <w:rFonts w:hint="eastAsia" w:ascii="宋体" w:hAnsi="宋体" w:eastAsia="宋体" w:cs="宋体"/>
          <w:color w:val="000000"/>
          <w:kern w:val="0"/>
          <w:sz w:val="24"/>
          <w:szCs w:val="24"/>
        </w:rPr>
        <w:t>依托合适的数字化工具展现数据要素在方案中的应用并说明其功能及其合理性与创新性；</w:t>
      </w:r>
    </w:p>
    <w:p w14:paraId="62D594A2">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r>
        <w:rPr>
          <w:rFonts w:hint="eastAsia" w:ascii="宋体" w:hAnsi="宋体" w:eastAsia="宋体" w:cs="宋体"/>
          <w:color w:val="000000"/>
          <w:kern w:val="0"/>
          <w:sz w:val="24"/>
          <w:szCs w:val="24"/>
        </w:rPr>
        <w:t xml:space="preserve">从方案设计与推广应用出发，合理评估所设计方案的实际应用价值以及进一步拓展提升的方向等。 </w:t>
      </w:r>
    </w:p>
    <w:p w14:paraId="3AAAA46E">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p>
    <w:p w14:paraId="3F14FE48">
      <w:pPr>
        <w:keepNext w:val="0"/>
        <w:keepLines w:val="0"/>
        <w:pageBreakBefore w:val="0"/>
        <w:widowControl/>
        <w:kinsoku/>
        <w:wordWrap/>
        <w:overflowPunct/>
        <w:topLinePunct w:val="0"/>
        <w:autoSpaceDE/>
        <w:autoSpaceDN/>
        <w:bidi w:val="0"/>
        <w:adjustRightInd/>
        <w:snapToGrid/>
        <w:spacing w:line="500" w:lineRule="exact"/>
        <w:ind w:firstLine="482"/>
        <w:jc w:val="left"/>
        <w:textAlignment w:val="auto"/>
        <w:rPr>
          <w:rFonts w:hint="eastAsia" w:ascii="宋体" w:hAnsi="宋体" w:eastAsia="宋体" w:cs="宋体"/>
          <w:color w:val="000000"/>
          <w:kern w:val="0"/>
          <w:sz w:val="24"/>
          <w:szCs w:val="24"/>
        </w:rPr>
      </w:pPr>
    </w:p>
    <w:p w14:paraId="731EBCF3">
      <w:pPr>
        <w:rPr>
          <w:rFonts w:hint="eastAsia"/>
        </w:rPr>
      </w:pPr>
    </w:p>
    <w:p w14:paraId="4D886B80"/>
    <w:p w14:paraId="5234FCD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p>
    <w:p w14:paraId="7B39440E">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宋体" w:hAnsi="宋体" w:eastAsia="宋体" w:cs="宋体"/>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swiss"/>
    <w:pitch w:val="default"/>
    <w:sig w:usb0="00000001" w:usb1="02000000" w:usb2="08000000" w:usb3="00000000" w:csb0="0000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06114B"/>
    <w:multiLevelType w:val="multilevel"/>
    <w:tmpl w:val="2106114B"/>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1">
    <w:nsid w:val="2ECB52ED"/>
    <w:multiLevelType w:val="multilevel"/>
    <w:tmpl w:val="2ECB52ED"/>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2">
    <w:nsid w:val="57C31810"/>
    <w:multiLevelType w:val="multilevel"/>
    <w:tmpl w:val="57C31810"/>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3">
    <w:nsid w:val="594317A1"/>
    <w:multiLevelType w:val="multilevel"/>
    <w:tmpl w:val="594317A1"/>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4">
    <w:nsid w:val="5B8A08BF"/>
    <w:multiLevelType w:val="multilevel"/>
    <w:tmpl w:val="5B8A08BF"/>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5">
    <w:nsid w:val="5D9C011C"/>
    <w:multiLevelType w:val="multilevel"/>
    <w:tmpl w:val="5D9C011C"/>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6">
    <w:nsid w:val="7C9C43F9"/>
    <w:multiLevelType w:val="multilevel"/>
    <w:tmpl w:val="7C9C43F9"/>
    <w:lvl w:ilvl="0" w:tentative="0">
      <w:start w:val="1"/>
      <w:numFmt w:val="decimal"/>
      <w:pStyle w:val="2"/>
      <w:lvlText w:val="%1."/>
      <w:lvlJc w:val="left"/>
      <w:pPr>
        <w:ind w:left="425" w:hanging="425"/>
      </w:pPr>
      <w:rPr>
        <w:rFonts w:ascii="宋体" w:hAnsi="宋体" w:eastAsia="宋体"/>
      </w:rPr>
    </w:lvl>
    <w:lvl w:ilvl="1" w:tentative="0">
      <w:start w:val="1"/>
      <w:numFmt w:val="decimal"/>
      <w:pStyle w:val="4"/>
      <w:lvlText w:val="%1.%2."/>
      <w:lvlJc w:val="left"/>
      <w:pPr>
        <w:ind w:left="567" w:hanging="567"/>
      </w:pPr>
      <w:rPr>
        <w:rFonts w:ascii="宋体" w:hAnsi="宋体" w:eastAsia="宋体"/>
      </w:rPr>
    </w:lvl>
    <w:lvl w:ilvl="2" w:tentative="0">
      <w:start w:val="1"/>
      <w:numFmt w:val="decimal"/>
      <w:lvlText w:val="%1.%2.%3."/>
      <w:lvlJc w:val="left"/>
      <w:pPr>
        <w:ind w:left="709" w:hanging="709"/>
      </w:pPr>
      <w:rPr>
        <w:rFonts w:ascii="宋体" w:hAnsi="宋体" w:eastAsia="宋体"/>
      </w:rPr>
    </w:lvl>
    <w:lvl w:ilvl="3" w:tentative="0">
      <w:start w:val="1"/>
      <w:numFmt w:val="decimal"/>
      <w:lvlText w:val="%1.%2.%3.%4."/>
      <w:lvlJc w:val="left"/>
      <w:pPr>
        <w:ind w:left="851" w:hanging="851"/>
      </w:pPr>
      <w:rPr>
        <w:rFonts w:ascii="宋体" w:hAnsi="宋体" w:eastAsia="宋体"/>
      </w:rPr>
    </w:lvl>
    <w:lvl w:ilvl="4" w:tentative="0">
      <w:start w:val="1"/>
      <w:numFmt w:val="decimal"/>
      <w:lvlText w:val="%1.%2.%3.%4.%5."/>
      <w:lvlJc w:val="left"/>
      <w:pPr>
        <w:ind w:left="992" w:hanging="992"/>
      </w:pPr>
      <w:rPr>
        <w:rFonts w:ascii="宋体" w:hAnsi="宋体" w:eastAsia="宋体"/>
      </w:r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7">
    <w:nsid w:val="7D347C8E"/>
    <w:multiLevelType w:val="multilevel"/>
    <w:tmpl w:val="7D347C8E"/>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num w:numId="1">
    <w:abstractNumId w:val="6"/>
  </w:num>
  <w:num w:numId="2">
    <w:abstractNumId w:val="7"/>
  </w:num>
  <w:num w:numId="3">
    <w:abstractNumId w:val="0"/>
  </w:num>
  <w:num w:numId="4">
    <w:abstractNumId w:val="5"/>
  </w:num>
  <w:num w:numId="5">
    <w:abstractNumId w:val="4"/>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10609"/>
    <w:rsid w:val="04A31A35"/>
    <w:rsid w:val="0FD2450F"/>
    <w:rsid w:val="26326872"/>
    <w:rsid w:val="37424492"/>
    <w:rsid w:val="380117C8"/>
    <w:rsid w:val="46D97434"/>
    <w:rsid w:val="59AE0725"/>
    <w:rsid w:val="5E4C5BC6"/>
    <w:rsid w:val="6A5926C8"/>
    <w:rsid w:val="7ED15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9"/>
    <w:pPr>
      <w:numPr>
        <w:ilvl w:val="0"/>
        <w:numId w:val="1"/>
      </w:numPr>
      <w:spacing w:before="156" w:beforeLines="50"/>
      <w:ind w:left="0" w:firstLine="0" w:firstLineChars="0"/>
      <w:outlineLvl w:val="0"/>
    </w:pPr>
    <w:rPr>
      <w:b/>
      <w:bCs/>
    </w:rPr>
  </w:style>
  <w:style w:type="paragraph" w:styleId="4">
    <w:name w:val="heading 2"/>
    <w:basedOn w:val="3"/>
    <w:next w:val="1"/>
    <w:unhideWhenUsed/>
    <w:qFormat/>
    <w:uiPriority w:val="9"/>
    <w:pPr>
      <w:numPr>
        <w:ilvl w:val="1"/>
        <w:numId w:val="1"/>
      </w:numPr>
      <w:spacing w:before="50" w:beforeLines="50"/>
      <w:ind w:left="0" w:firstLine="0" w:firstLineChars="0"/>
      <w:outlineLvl w:val="1"/>
    </w:pPr>
    <w:rPr>
      <w:b/>
      <w:bCs/>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List Paragraph"/>
    <w:basedOn w:val="1"/>
    <w:qFormat/>
    <w:uiPriority w:val="34"/>
  </w:style>
  <w:style w:type="paragraph" w:styleId="5">
    <w:name w:val="footer"/>
    <w:basedOn w:val="1"/>
    <w:unhideWhenUsed/>
    <w:qFormat/>
    <w:uiPriority w:val="99"/>
    <w:pPr>
      <w:widowControl w:val="0"/>
      <w:tabs>
        <w:tab w:val="center" w:pos="4153"/>
        <w:tab w:val="right" w:pos="8306"/>
      </w:tabs>
      <w:snapToGrid w:val="0"/>
      <w:spacing w:line="240" w:lineRule="auto"/>
    </w:pPr>
    <w:rPr>
      <w:kern w:val="2"/>
      <w:sz w:val="18"/>
      <w:szCs w:val="18"/>
    </w:rPr>
  </w:style>
  <w:style w:type="paragraph" w:styleId="6">
    <w:name w:val="header"/>
    <w:basedOn w:val="1"/>
    <w:unhideWhenUsed/>
    <w:qFormat/>
    <w:uiPriority w:val="99"/>
    <w:pPr>
      <w:widowControl w:val="0"/>
      <w:pBdr>
        <w:bottom w:val="single" w:color="auto" w:sz="6" w:space="1"/>
      </w:pBdr>
      <w:tabs>
        <w:tab w:val="center" w:pos="4153"/>
        <w:tab w:val="right" w:pos="8306"/>
      </w:tabs>
      <w:snapToGrid w:val="0"/>
      <w:spacing w:line="240" w:lineRule="auto"/>
      <w:jc w:val="center"/>
    </w:pPr>
    <w:rPr>
      <w:kern w:val="2"/>
      <w:sz w:val="18"/>
      <w:szCs w:val="18"/>
    </w:rPr>
  </w:style>
  <w:style w:type="character" w:styleId="9">
    <w:name w:val="page number"/>
    <w:basedOn w:val="8"/>
    <w:qFormat/>
    <w:uiPriority w:val="0"/>
  </w:style>
  <w:style w:type="character" w:styleId="10">
    <w:name w:val="Hyperlink"/>
    <w:basedOn w:val="8"/>
    <w:unhideWhenUsed/>
    <w:qFormat/>
    <w:uiPriority w:val="99"/>
    <w:rPr>
      <w:color w:val="0026E5" w:themeColor="hyperlink"/>
      <w:u w:val="single"/>
      <w14:textFill>
        <w14:solidFill>
          <w14:schemeClr w14:val="hlink"/>
        </w14:solidFill>
      </w14:textFill>
    </w:rPr>
  </w:style>
  <w:style w:type="table" w:customStyle="1" w:styleId="11">
    <w:name w:val="Grid Table 1 Light Accent 1"/>
    <w:basedOn w:val="7"/>
    <w:qFormat/>
    <w:uiPriority w:val="46"/>
    <w:tblPr>
      <w:tblBorders>
        <w:top w:val="single" w:color="B5C7EA" w:themeColor="accent1" w:themeTint="66" w:sz="4" w:space="0"/>
        <w:left w:val="single" w:color="B5C7EA" w:themeColor="accent1" w:themeTint="66" w:sz="4" w:space="0"/>
        <w:bottom w:val="single" w:color="B5C7EA" w:themeColor="accent1" w:themeTint="66" w:sz="4" w:space="0"/>
        <w:right w:val="single" w:color="B5C7EA" w:themeColor="accent1" w:themeTint="66" w:sz="4" w:space="0"/>
        <w:insideH w:val="single" w:color="B5C7EA" w:themeColor="accent1" w:themeTint="66" w:sz="4" w:space="0"/>
        <w:insideV w:val="single" w:color="B5C7EA" w:themeColor="accent1" w:themeTint="66" w:sz="4" w:space="0"/>
      </w:tblBorders>
    </w:tblPr>
    <w:tblStylePr w:type="firstRow">
      <w:rPr>
        <w:b/>
        <w:bCs/>
      </w:rPr>
      <w:tcPr>
        <w:tcBorders>
          <w:bottom w:val="single" w:color="91ABDF" w:themeColor="accent1" w:themeTint="99" w:sz="12" w:space="0"/>
        </w:tcBorders>
      </w:tcPr>
    </w:tblStylePr>
    <w:tblStylePr w:type="lastRow">
      <w:rPr>
        <w:b/>
        <w:bCs/>
      </w:rPr>
      <w:tcPr>
        <w:tcBorders>
          <w:top w:val="double" w:color="91ABDF" w:themeColor="accent1" w:themeTint="99" w:sz="2" w:space="0"/>
        </w:tcBorders>
      </w:tcPr>
    </w:tblStylePr>
    <w:tblStylePr w:type="firstCol">
      <w:rPr>
        <w:b/>
        <w:bCs/>
      </w:rPr>
    </w:tblStylePr>
    <w:tblStylePr w:type="lastCol">
      <w:rPr>
        <w:b/>
        <w:bCs/>
      </w:rPr>
    </w:tblStylePr>
  </w:style>
  <w:style w:type="paragraph" w:customStyle="1" w:styleId="12">
    <w:name w:val="正文+宋体"/>
    <w:basedOn w:val="6"/>
    <w:qFormat/>
    <w:uiPriority w:val="0"/>
    <w:pPr>
      <w:ind w:firstLine="0" w:firstLineChars="0"/>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4034</Words>
  <Characters>4135</Characters>
  <Lines>0</Lines>
  <Paragraphs>0</Paragraphs>
  <TotalTime>3</TotalTime>
  <ScaleCrop>false</ScaleCrop>
  <LinksUpToDate>false</LinksUpToDate>
  <CharactersWithSpaces>4139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2026-02-06T02:04:00Z</dcterms:created>
  <dc:creator>小鑫</dc:creator>
  <cp:lastModifiedBy>董桂才</cp:lastModifiedBy>
  <dcterms:modified xsi:type="dcterms:W3CDTF">2026-02-26T06:20:38Z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eyJoZGlkIjoiYTY3YzYzMjk5Y2FhMDI0NDYyZGQ4ODkzMWU2ZThlZWMiLCJ1c2VySWQiOiI1MTA0Njc2NjIifQ==</vt:lpwstr>
  </property>
  <property fmtid="{D5CDD505-2E9C-101B-9397-08002B2CF9AE}" pid="4" name="ICV">
    <vt:lpwstr>6F52215CEB5A421E8B0BA4ED6BF26D66_12</vt:lpwstr>
  </property>
</Properties>
</file>